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3B9361" w14:textId="3B5BE6A1" w:rsidR="00186D00" w:rsidRPr="00436B43" w:rsidRDefault="00436B43">
      <w:pPr>
        <w:rPr>
          <w:b/>
          <w:bCs/>
        </w:rPr>
      </w:pPr>
      <w:r w:rsidRPr="00436B43">
        <w:rPr>
          <w:b/>
          <w:bCs/>
        </w:rPr>
        <w:t>What needs to be in place to support continuous improvement after an initial capability centre transfer?</w:t>
      </w:r>
    </w:p>
    <w:p w14:paraId="5B35003C" w14:textId="1B0EE875" w:rsidR="00436B43" w:rsidRDefault="00436B43" w:rsidP="00436B43">
      <w:r>
        <w:t>Continuous improvement depends on having the right governance, ownership, and feedback mechanisms in place:</w:t>
      </w:r>
    </w:p>
    <w:p w14:paraId="710AF24F" w14:textId="77777777" w:rsidR="00436B43" w:rsidRDefault="00436B43" w:rsidP="00436B43">
      <w:pPr>
        <w:pStyle w:val="ListParagraph"/>
        <w:numPr>
          <w:ilvl w:val="0"/>
          <w:numId w:val="1"/>
        </w:numPr>
      </w:pPr>
      <w:r>
        <w:t>Progressive SLAs and productivity targets so expectations continue to mature over time rather than staying at day-one levels.</w:t>
      </w:r>
    </w:p>
    <w:p w14:paraId="4BFEC566" w14:textId="77777777" w:rsidR="00436B43" w:rsidRDefault="00436B43" w:rsidP="00436B43">
      <w:pPr>
        <w:pStyle w:val="ListParagraph"/>
        <w:numPr>
          <w:ilvl w:val="0"/>
          <w:numId w:val="1"/>
        </w:numPr>
      </w:pPr>
      <w:r>
        <w:t>Regular assessment and scorecards to measure performance consistently and identify where improvement is needed.</w:t>
      </w:r>
    </w:p>
    <w:p w14:paraId="07E7A7E9" w14:textId="77777777" w:rsidR="00436B43" w:rsidRDefault="00436B43" w:rsidP="00436B43">
      <w:pPr>
        <w:pStyle w:val="ListParagraph"/>
        <w:numPr>
          <w:ilvl w:val="0"/>
          <w:numId w:val="1"/>
        </w:numPr>
      </w:pPr>
      <w:r>
        <w:t>A strong feedback loop to capture lessons learned and feed them back into process changes.</w:t>
      </w:r>
    </w:p>
    <w:p w14:paraId="5D213E8E" w14:textId="77777777" w:rsidR="00436B43" w:rsidRDefault="00436B43" w:rsidP="00436B43">
      <w:pPr>
        <w:pStyle w:val="ListParagraph"/>
        <w:numPr>
          <w:ilvl w:val="0"/>
          <w:numId w:val="1"/>
        </w:numPr>
      </w:pPr>
      <w:r>
        <w:t>Clear onshore ownership/accountability to lead the relationship, manage issues, and ensure responsibilities are understood.</w:t>
      </w:r>
    </w:p>
    <w:p w14:paraId="5F69AE2B" w14:textId="77777777" w:rsidR="00436B43" w:rsidRDefault="00436B43" w:rsidP="00436B43">
      <w:pPr>
        <w:pStyle w:val="ListParagraph"/>
        <w:numPr>
          <w:ilvl w:val="0"/>
          <w:numId w:val="1"/>
        </w:numPr>
      </w:pPr>
      <w:r>
        <w:t>Effective change management and leadership to support teams through transition, build trust, and maintain engagement across locations.</w:t>
      </w:r>
    </w:p>
    <w:p w14:paraId="744B86A1" w14:textId="5275ACFB" w:rsidR="00436B43" w:rsidRPr="008A4085" w:rsidRDefault="00436B43" w:rsidP="00436B43">
      <w:pPr>
        <w:rPr>
          <w:b/>
          <w:bCs/>
        </w:rPr>
      </w:pPr>
      <w:r w:rsidRPr="008A4085">
        <w:rPr>
          <w:b/>
          <w:bCs/>
        </w:rPr>
        <w:t>What improvements would you expect to see in a future state for capability centres?</w:t>
      </w:r>
    </w:p>
    <w:p w14:paraId="1078B49E" w14:textId="5FCA3564" w:rsidR="00436B43" w:rsidRDefault="00436B43" w:rsidP="00436B43">
      <w:r>
        <w:t>The future state d</w:t>
      </w:r>
      <w:r w:rsidR="008A4085">
        <w:t>iscussed</w:t>
      </w:r>
      <w:r>
        <w:t xml:space="preserve"> is broader than just cost efficiency - it points to a more mature, flexible, and integrated model:</w:t>
      </w:r>
    </w:p>
    <w:p w14:paraId="38A170C4" w14:textId="77777777" w:rsidR="00436B43" w:rsidRDefault="00436B43" w:rsidP="008A4085">
      <w:pPr>
        <w:pStyle w:val="ListParagraph"/>
        <w:numPr>
          <w:ilvl w:val="0"/>
          <w:numId w:val="2"/>
        </w:numPr>
      </w:pPr>
      <w:r>
        <w:t>Greater use of technology and AI to improve scale and efficiency.</w:t>
      </w:r>
    </w:p>
    <w:p w14:paraId="246FF064" w14:textId="77777777" w:rsidR="00436B43" w:rsidRDefault="00436B43" w:rsidP="008A4085">
      <w:pPr>
        <w:pStyle w:val="ListParagraph"/>
        <w:numPr>
          <w:ilvl w:val="0"/>
          <w:numId w:val="2"/>
        </w:numPr>
      </w:pPr>
      <w:r>
        <w:t>Better productivity and service performance, driven by clearer targets and measurement.</w:t>
      </w:r>
    </w:p>
    <w:p w14:paraId="7565E6FE" w14:textId="77777777" w:rsidR="00436B43" w:rsidRDefault="00436B43" w:rsidP="008A4085">
      <w:pPr>
        <w:pStyle w:val="ListParagraph"/>
        <w:numPr>
          <w:ilvl w:val="0"/>
          <w:numId w:val="2"/>
        </w:numPr>
      </w:pPr>
      <w:r>
        <w:t>Stronger onshore/offshore relationship networks, with closer collaboration and trust.</w:t>
      </w:r>
    </w:p>
    <w:p w14:paraId="615BA717" w14:textId="77777777" w:rsidR="00436B43" w:rsidRDefault="00436B43" w:rsidP="008A4085">
      <w:pPr>
        <w:pStyle w:val="ListParagraph"/>
        <w:numPr>
          <w:ilvl w:val="0"/>
          <w:numId w:val="2"/>
        </w:numPr>
      </w:pPr>
      <w:r>
        <w:t>More defined development paths for teams, helping build capability and retain talent.</w:t>
      </w:r>
    </w:p>
    <w:p w14:paraId="14261146" w14:textId="77777777" w:rsidR="00436B43" w:rsidRDefault="00436B43" w:rsidP="008A4085">
      <w:pPr>
        <w:pStyle w:val="ListParagraph"/>
        <w:numPr>
          <w:ilvl w:val="0"/>
          <w:numId w:val="2"/>
        </w:numPr>
      </w:pPr>
      <w:r>
        <w:t>Flexible capability teams that can provide more ad hoc or specialist support, rather than only fixed-process delivery.</w:t>
      </w:r>
    </w:p>
    <w:p w14:paraId="13715DD5" w14:textId="77777777" w:rsidR="00436B43" w:rsidRDefault="00436B43" w:rsidP="008A4085">
      <w:pPr>
        <w:pStyle w:val="ListParagraph"/>
        <w:numPr>
          <w:ilvl w:val="0"/>
          <w:numId w:val="2"/>
        </w:numPr>
      </w:pPr>
      <w:r>
        <w:t>Improved brand and product knowledge within the GCC team.</w:t>
      </w:r>
    </w:p>
    <w:p w14:paraId="7F297F14" w14:textId="77777777" w:rsidR="00436B43" w:rsidRDefault="00436B43" w:rsidP="008A4085">
      <w:pPr>
        <w:pStyle w:val="ListParagraph"/>
        <w:numPr>
          <w:ilvl w:val="0"/>
          <w:numId w:val="2"/>
        </w:numPr>
      </w:pPr>
      <w:r>
        <w:t>Better process quality, including reviewing whether work should simply be transferred (“lift and shift”) or redesigned first (“improve and shift”).</w:t>
      </w:r>
    </w:p>
    <w:p w14:paraId="75FD2623" w14:textId="77777777" w:rsidR="00436B43" w:rsidRDefault="00436B43" w:rsidP="008A4085">
      <w:pPr>
        <w:pStyle w:val="ListParagraph"/>
        <w:numPr>
          <w:ilvl w:val="0"/>
          <w:numId w:val="2"/>
        </w:numPr>
      </w:pPr>
      <w:r>
        <w:t>Cleaner, more standardised data and better documented processes.</w:t>
      </w:r>
    </w:p>
    <w:p w14:paraId="0BAD00EF" w14:textId="77777777" w:rsidR="00436B43" w:rsidRDefault="00436B43" w:rsidP="00436B43">
      <w:r>
        <w:t>3. How can we prepare now for the future state?</w:t>
      </w:r>
    </w:p>
    <w:p w14:paraId="4AEB5DA3" w14:textId="77777777" w:rsidR="00436B43" w:rsidRDefault="00436B43" w:rsidP="00FF371F">
      <w:pPr>
        <w:pStyle w:val="ListParagraph"/>
        <w:numPr>
          <w:ilvl w:val="0"/>
          <w:numId w:val="3"/>
        </w:numPr>
      </w:pPr>
      <w:r>
        <w:t>Set up progressive SLA and productivity frameworks now, with regular review cycles and scorecards.</w:t>
      </w:r>
    </w:p>
    <w:p w14:paraId="42741CB8" w14:textId="77777777" w:rsidR="00436B43" w:rsidRDefault="00436B43" w:rsidP="00FF371F">
      <w:pPr>
        <w:pStyle w:val="ListParagraph"/>
        <w:numPr>
          <w:ilvl w:val="0"/>
          <w:numId w:val="3"/>
        </w:numPr>
      </w:pPr>
      <w:r>
        <w:t>Establish clear governance and ownership, especially named onshore leads for relationship management and accountability.</w:t>
      </w:r>
    </w:p>
    <w:p w14:paraId="7B7E84E6" w14:textId="77777777" w:rsidR="00436B43" w:rsidRDefault="00436B43" w:rsidP="00FF371F">
      <w:pPr>
        <w:pStyle w:val="ListParagraph"/>
        <w:numPr>
          <w:ilvl w:val="0"/>
          <w:numId w:val="3"/>
        </w:numPr>
      </w:pPr>
      <w:r>
        <w:t>Build a formal lessons-learned and feedback process after transfer.</w:t>
      </w:r>
    </w:p>
    <w:p w14:paraId="3FBD6563" w14:textId="77777777" w:rsidR="00436B43" w:rsidRDefault="00436B43" w:rsidP="00FF371F">
      <w:pPr>
        <w:pStyle w:val="ListParagraph"/>
        <w:numPr>
          <w:ilvl w:val="0"/>
          <w:numId w:val="3"/>
        </w:numPr>
      </w:pPr>
      <w:r>
        <w:t>Invest early in change management, communication, and leadership support to strengthen trust across teams.</w:t>
      </w:r>
    </w:p>
    <w:p w14:paraId="5FE76E4A" w14:textId="77777777" w:rsidR="00436B43" w:rsidRDefault="00436B43" w:rsidP="00FF371F">
      <w:pPr>
        <w:pStyle w:val="ListParagraph"/>
        <w:numPr>
          <w:ilvl w:val="0"/>
          <w:numId w:val="3"/>
        </w:numPr>
      </w:pPr>
      <w:r>
        <w:t>Start identifying where technology, automation, and AI could improve scale and efficiency.</w:t>
      </w:r>
    </w:p>
    <w:p w14:paraId="4C7EF93B" w14:textId="77777777" w:rsidR="00436B43" w:rsidRDefault="00436B43" w:rsidP="00FF371F">
      <w:pPr>
        <w:pStyle w:val="ListParagraph"/>
        <w:numPr>
          <w:ilvl w:val="0"/>
          <w:numId w:val="3"/>
        </w:numPr>
      </w:pPr>
      <w:r>
        <w:t>Create training and development plans for capability centre teams, including brand and product knowledge.</w:t>
      </w:r>
    </w:p>
    <w:p w14:paraId="3E2C18F0" w14:textId="77777777" w:rsidR="00436B43" w:rsidRDefault="00436B43" w:rsidP="00FF371F">
      <w:pPr>
        <w:pStyle w:val="ListParagraph"/>
        <w:numPr>
          <w:ilvl w:val="0"/>
          <w:numId w:val="3"/>
        </w:numPr>
      </w:pPr>
      <w:r>
        <w:t>Review processes before transfer where possible, to decide whether to lift-and-shift or improve-and-shift.</w:t>
      </w:r>
    </w:p>
    <w:p w14:paraId="3CC5741F" w14:textId="77777777" w:rsidR="00436B43" w:rsidRDefault="00436B43" w:rsidP="00FF371F">
      <w:pPr>
        <w:pStyle w:val="ListParagraph"/>
        <w:numPr>
          <w:ilvl w:val="0"/>
          <w:numId w:val="3"/>
        </w:numPr>
      </w:pPr>
      <w:r>
        <w:lastRenderedPageBreak/>
        <w:t>Begin data cleansing, standardisation, process documentation, and simplification now so the future model is built on stronger foundations.</w:t>
      </w:r>
    </w:p>
    <w:p w14:paraId="797D4308" w14:textId="7E04A74B" w:rsidR="00436B43" w:rsidRDefault="00436B43" w:rsidP="00FF371F">
      <w:pPr>
        <w:pStyle w:val="ListParagraph"/>
        <w:numPr>
          <w:ilvl w:val="0"/>
          <w:numId w:val="3"/>
        </w:numPr>
      </w:pPr>
      <w:r>
        <w:t>Design teams for flexibility, so they can evolve from transactional delivery to broader operational support.</w:t>
      </w:r>
    </w:p>
    <w:sectPr w:rsidR="00436B4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41A52F1"/>
    <w:multiLevelType w:val="hybridMultilevel"/>
    <w:tmpl w:val="64DA862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D07238B"/>
    <w:multiLevelType w:val="hybridMultilevel"/>
    <w:tmpl w:val="8CAC0A8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8C94448"/>
    <w:multiLevelType w:val="hybridMultilevel"/>
    <w:tmpl w:val="A448DBA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9546989">
    <w:abstractNumId w:val="2"/>
  </w:num>
  <w:num w:numId="2" w16cid:durableId="793602863">
    <w:abstractNumId w:val="0"/>
  </w:num>
  <w:num w:numId="3" w16cid:durableId="185553810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64F0"/>
    <w:rsid w:val="00023A94"/>
    <w:rsid w:val="00186D00"/>
    <w:rsid w:val="00436B43"/>
    <w:rsid w:val="00565A5E"/>
    <w:rsid w:val="006064F0"/>
    <w:rsid w:val="007C1199"/>
    <w:rsid w:val="008A4085"/>
    <w:rsid w:val="008B6DE6"/>
    <w:rsid w:val="009317FF"/>
    <w:rsid w:val="00A42694"/>
    <w:rsid w:val="00FA08E4"/>
    <w:rsid w:val="00FF37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5FCB62"/>
  <w15:chartTrackingRefBased/>
  <w15:docId w15:val="{F6C17B57-98F5-4746-AC8A-A283A3536C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064F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064F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064F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064F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064F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064F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064F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064F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064F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064F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064F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064F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064F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064F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064F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064F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064F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064F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064F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064F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064F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064F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064F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064F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064F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064F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064F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064F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064F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406</Words>
  <Characters>2316</Characters>
  <Application>Microsoft Office Word</Application>
  <DocSecurity>0</DocSecurity>
  <Lines>19</Lines>
  <Paragraphs>5</Paragraphs>
  <ScaleCrop>false</ScaleCrop>
  <Company>Chubb Corporation</Company>
  <LinksUpToDate>false</LinksUpToDate>
  <CharactersWithSpaces>2717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Baldwin, Nigel</dc:creator>
  <cp:keywords/>
  <dc:description/>
  <cp:lastModifiedBy>Baldwin, Nigel</cp:lastModifiedBy>
  <cp:revision>2</cp:revision>
  <dcterms:created xsi:type="dcterms:W3CDTF">2026-03-30T14:10:00Z</dcterms:created>
  <dcterms:modified xsi:type="dcterms:W3CDTF">2026-03-30T14:10:00Z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a4c6dbb6-22bd-4430-a24e-11d800d02e4a_Enabled">
    <vt:lpwstr>true</vt:lpwstr>
  </property>
  <property fmtid="{D5CDD505-2E9C-101B-9397-08002B2CF9AE}" pid="3" name="MSIP_Label_a4c6dbb6-22bd-4430-a24e-11d800d02e4a_SetDate">
    <vt:lpwstr>2026-03-30T13:57:53Z</vt:lpwstr>
  </property>
  <property fmtid="{D5CDD505-2E9C-101B-9397-08002B2CF9AE}" pid="4" name="MSIP_Label_a4c6dbb6-22bd-4430-a24e-11d800d02e4a_Method">
    <vt:lpwstr>Standard</vt:lpwstr>
  </property>
  <property fmtid="{D5CDD505-2E9C-101B-9397-08002B2CF9AE}" pid="5" name="MSIP_Label_a4c6dbb6-22bd-4430-a24e-11d800d02e4a_Name">
    <vt:lpwstr>General - Chubb - New</vt:lpwstr>
  </property>
  <property fmtid="{D5CDD505-2E9C-101B-9397-08002B2CF9AE}" pid="6" name="MSIP_Label_a4c6dbb6-22bd-4430-a24e-11d800d02e4a_SiteId">
    <vt:lpwstr>47995fc2-1f56-47ce-9137-a87caef4be74</vt:lpwstr>
  </property>
  <property fmtid="{D5CDD505-2E9C-101B-9397-08002B2CF9AE}" pid="7" name="MSIP_Label_a4c6dbb6-22bd-4430-a24e-11d800d02e4a_ActionId">
    <vt:lpwstr>ece6e6c1-872b-4305-832b-45400a4ec876</vt:lpwstr>
  </property>
  <property fmtid="{D5CDD505-2E9C-101B-9397-08002B2CF9AE}" pid="8" name="MSIP_Label_a4c6dbb6-22bd-4430-a24e-11d800d02e4a_ContentBits">
    <vt:lpwstr>0</vt:lpwstr>
  </property>
  <property fmtid="{D5CDD505-2E9C-101B-9397-08002B2CF9AE}" pid="9" name="MSIP_Label_a4c6dbb6-22bd-4430-a24e-11d800d02e4a_Tag">
    <vt:lpwstr>10, 3, 0, 1</vt:lpwstr>
  </property>
</Properties>
</file>