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6A96F220" w:rsidR="007544E7" w:rsidRDefault="006651D6">
            <w:r>
              <w:t>22</w:t>
            </w:r>
            <w:r w:rsidRPr="006651D6">
              <w:rPr>
                <w:vertAlign w:val="superscript"/>
              </w:rPr>
              <w:t>nd</w:t>
            </w:r>
            <w:r>
              <w:t xml:space="preserve"> </w:t>
            </w:r>
            <w:r w:rsidR="00282A63">
              <w:t xml:space="preserve">May </w:t>
            </w:r>
            <w:r w:rsidR="00DB2817">
              <w:t>2025</w:t>
            </w:r>
            <w:r w:rsidR="004367B5">
              <w:t xml:space="preserve">, </w:t>
            </w:r>
            <w:r w:rsidR="00282A63">
              <w:t>10</w:t>
            </w:r>
            <w:r w:rsidR="004367B5">
              <w:t>:</w:t>
            </w:r>
            <w:r w:rsidR="00D91E4E">
              <w:t>0</w:t>
            </w:r>
            <w:r w:rsidR="004367B5">
              <w:t>0</w:t>
            </w:r>
            <w:r w:rsidR="00282A63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3B80EB48" w:rsidR="007544E7" w:rsidRDefault="00DB2817">
            <w:r>
              <w:t xml:space="preserve">Meeting Room 4,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367B6C7F" w14:textId="04552F26" w:rsidR="00DB2817" w:rsidRDefault="00DB2817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4F27240D" w14:textId="26878026" w:rsidR="00DB2817" w:rsidRDefault="00DB2817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5B4B16DE" w14:textId="1CFD9689" w:rsidR="00DB2817" w:rsidRDefault="00DB2817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57A0AF4F" w14:textId="799CC2DB" w:rsidR="00DB2817" w:rsidRDefault="00DB2817">
            <w:r>
              <w:t xml:space="preserve">Hong Kong - </w:t>
            </w:r>
            <w:r w:rsidRPr="00DB2817">
              <w:t xml:space="preserve">Fan, Cheuk Wing </w:t>
            </w:r>
            <w:r>
              <w:t xml:space="preserve">(Manager </w:t>
            </w:r>
            <w:r w:rsidR="00F84828">
              <w:t xml:space="preserve">- </w:t>
            </w:r>
            <w:r>
              <w:t>Credit Control and Collection)</w:t>
            </w:r>
          </w:p>
          <w:p w14:paraId="1FE43196" w14:textId="4AD1B764" w:rsidR="00DB2817" w:rsidRDefault="00DB2817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3015B21F" w14:textId="6E892B46" w:rsidR="00DB2817" w:rsidRDefault="00DB2817">
            <w:r>
              <w:t xml:space="preserve">Hong Kong - </w:t>
            </w:r>
            <w:r w:rsidRPr="00DB2817">
              <w:t xml:space="preserve">Ng, Vicky </w:t>
            </w:r>
            <w:r w:rsidR="00F84828">
              <w:t>(Secretary)</w:t>
            </w:r>
          </w:p>
          <w:p w14:paraId="3499DF55" w14:textId="415DFA9C" w:rsidR="00282A63" w:rsidRDefault="00333398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1BDB87B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2C28D6B5" w:rsidR="007544E7" w:rsidRDefault="006651D6" w:rsidP="00943CB8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7372B039" w:rsidR="00F63C14" w:rsidRDefault="00F63C14" w:rsidP="00CF7DAA">
            <w:r>
              <w:t>3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21CDB59D" w:rsidR="00F63C14" w:rsidRDefault="00F63C14" w:rsidP="00CF7DAA">
            <w:r>
              <w:t>0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7A4C0ACF" w:rsidR="00F63C14" w:rsidRDefault="00F63C14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851"/>
        <w:gridCol w:w="1134"/>
      </w:tblGrid>
      <w:tr w:rsidR="009B6181" w:rsidRPr="003147E3" w14:paraId="15E2B286" w14:textId="2B64BB1E" w:rsidTr="00BD1CEF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Hlk198821287"/>
            <w:bookmarkStart w:id="2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bookmarkEnd w:id="1"/>
      <w:tr w:rsidR="009B6181" w14:paraId="5FA3882A" w14:textId="748FDEAA" w:rsidTr="00582F5F">
        <w:trPr>
          <w:trHeight w:val="300"/>
        </w:trPr>
        <w:tc>
          <w:tcPr>
            <w:tcW w:w="993" w:type="dxa"/>
          </w:tcPr>
          <w:p w14:paraId="2C4DA46E" w14:textId="4F73A5EF" w:rsidR="00ED5805" w:rsidRPr="00D25A14" w:rsidRDefault="00ED5805" w:rsidP="007C3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86" w:type="dxa"/>
          </w:tcPr>
          <w:p w14:paraId="16D2CBFE" w14:textId="77777777" w:rsidR="00ED5805" w:rsidRPr="00596F60" w:rsidRDefault="00DB7686" w:rsidP="00DB7686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078ABECD" w14:textId="77777777" w:rsidR="00596F60" w:rsidRDefault="00596F60" w:rsidP="00DB7686"/>
          <w:p w14:paraId="46ED96CA" w14:textId="77777777" w:rsidR="00596F60" w:rsidRDefault="00596F60" w:rsidP="00596F60">
            <w:r>
              <w:t>No Discussed.</w:t>
            </w:r>
          </w:p>
          <w:p w14:paraId="44C9765C" w14:textId="77777777" w:rsidR="00596F60" w:rsidRDefault="009B6181" w:rsidP="00BD1CEF">
            <w:r>
              <w:t>No further updates until August 2025.</w:t>
            </w:r>
          </w:p>
          <w:p w14:paraId="39A9DBDD" w14:textId="53437636" w:rsidR="00BD1CEF" w:rsidRPr="007519A2" w:rsidRDefault="00BD1CEF" w:rsidP="00BD1CEF"/>
        </w:tc>
        <w:tc>
          <w:tcPr>
            <w:tcW w:w="1134" w:type="dxa"/>
            <w:shd w:val="clear" w:color="auto" w:fill="FFFF00"/>
          </w:tcPr>
          <w:p w14:paraId="77E9A8C9" w14:textId="0FE49923" w:rsidR="00ED5805" w:rsidRDefault="00ED5805" w:rsidP="009B6181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06D9E6CD" w14:textId="59CBD1E1" w:rsidR="00596F60" w:rsidRDefault="00ED5805" w:rsidP="00596F60">
            <w:pPr>
              <w:jc w:val="center"/>
            </w:pPr>
            <w:r>
              <w:t>Cindy</w:t>
            </w:r>
          </w:p>
          <w:p w14:paraId="6A43C0B5" w14:textId="7B3F8C96" w:rsidR="00596F60" w:rsidRDefault="00ED5805" w:rsidP="00596F60">
            <w:pPr>
              <w:jc w:val="center"/>
            </w:pPr>
            <w:r>
              <w:t>+</w:t>
            </w:r>
          </w:p>
          <w:p w14:paraId="2C3E6181" w14:textId="70182B58" w:rsidR="00ED5805" w:rsidRDefault="00ED5805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4E5E0549" w14:textId="23D32189" w:rsidR="00ED5805" w:rsidRDefault="009B6181" w:rsidP="009B6181">
            <w:pPr>
              <w:jc w:val="center"/>
            </w:pPr>
            <w:r>
              <w:t>-</w:t>
            </w:r>
          </w:p>
        </w:tc>
      </w:tr>
      <w:tr w:rsidR="00596F60" w14:paraId="5EA04419" w14:textId="77777777" w:rsidTr="00582F5F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86" w:type="dxa"/>
          </w:tcPr>
          <w:p w14:paraId="68352033" w14:textId="77777777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11B7B8E1" w14:textId="77777777" w:rsidR="00596F60" w:rsidRDefault="00596F60" w:rsidP="00596F60"/>
          <w:p w14:paraId="34A85242" w14:textId="5C83BD0D" w:rsidR="00596F60" w:rsidRPr="002E77CC" w:rsidRDefault="006651D6" w:rsidP="006651D6">
            <w:r w:rsidRPr="002E77CC">
              <w:t xml:space="preserve">Annie highlighted there will be </w:t>
            </w:r>
            <w:r w:rsidR="00443626" w:rsidRPr="002E77CC">
              <w:t xml:space="preserve">significant </w:t>
            </w:r>
            <w:r w:rsidRPr="002E77CC">
              <w:t xml:space="preserve">changes </w:t>
            </w:r>
            <w:r w:rsidR="00443626" w:rsidRPr="002E77CC">
              <w:t xml:space="preserve">to the </w:t>
            </w:r>
            <w:r w:rsidRPr="002E77CC">
              <w:t xml:space="preserve">Payment </w:t>
            </w:r>
            <w:r w:rsidR="00723E81" w:rsidRPr="002E77CC">
              <w:t>R</w:t>
            </w:r>
            <w:r w:rsidR="00443626" w:rsidRPr="002E77CC">
              <w:t>equest</w:t>
            </w:r>
            <w:r w:rsidRPr="002E77CC">
              <w:t xml:space="preserve"> Process.  Eventually</w:t>
            </w:r>
            <w:r w:rsidR="00A512F1" w:rsidRPr="002E77CC">
              <w:t>, the process will eliminate the need for</w:t>
            </w:r>
            <w:r w:rsidRPr="002E77CC">
              <w:t xml:space="preserve"> signatories on invoices, </w:t>
            </w:r>
            <w:r w:rsidR="00A512F1" w:rsidRPr="002E77CC">
              <w:t xml:space="preserve">incorporate </w:t>
            </w:r>
            <w:r w:rsidR="00443626" w:rsidRPr="002E77CC">
              <w:t>AI</w:t>
            </w:r>
            <w:r w:rsidR="002E77CC" w:rsidRPr="002E77CC">
              <w:t xml:space="preserve"> </w:t>
            </w:r>
            <w:r w:rsidR="00A512F1" w:rsidRPr="002E77CC">
              <w:t>for automated matching</w:t>
            </w:r>
            <w:r w:rsidR="00443626" w:rsidRPr="002E77CC">
              <w:t xml:space="preserve">, </w:t>
            </w:r>
            <w:r w:rsidR="008E020D" w:rsidRPr="002E77CC">
              <w:t>enable</w:t>
            </w:r>
            <w:r w:rsidRPr="002E77CC">
              <w:t xml:space="preserve"> invoice </w:t>
            </w:r>
            <w:r w:rsidR="008E020D" w:rsidRPr="002E77CC">
              <w:t>scanning directly in</w:t>
            </w:r>
            <w:r w:rsidRPr="002E77CC">
              <w:t xml:space="preserve">to </w:t>
            </w:r>
            <w:r w:rsidR="008E020D" w:rsidRPr="002E77CC">
              <w:t xml:space="preserve">the </w:t>
            </w:r>
            <w:r w:rsidRPr="002E77CC">
              <w:t xml:space="preserve">system and </w:t>
            </w:r>
            <w:r w:rsidR="008E020D" w:rsidRPr="002E77CC">
              <w:t xml:space="preserve">move towards a </w:t>
            </w:r>
            <w:r w:rsidRPr="002E77CC">
              <w:t>paperless</w:t>
            </w:r>
            <w:r w:rsidR="008E020D" w:rsidRPr="002E77CC">
              <w:t xml:space="preserve"> environment</w:t>
            </w:r>
            <w:r w:rsidRPr="002E77CC">
              <w:t>.</w:t>
            </w:r>
          </w:p>
          <w:p w14:paraId="01863B85" w14:textId="3F9F313B" w:rsidR="006651D6" w:rsidRDefault="006651D6" w:rsidP="006651D6"/>
        </w:tc>
        <w:tc>
          <w:tcPr>
            <w:tcW w:w="1134" w:type="dxa"/>
            <w:shd w:val="clear" w:color="auto" w:fill="F2CEEF"/>
          </w:tcPr>
          <w:p w14:paraId="15A60B07" w14:textId="228015FE" w:rsidR="00596F60" w:rsidRDefault="00596F60" w:rsidP="009B6181">
            <w:pPr>
              <w:jc w:val="center"/>
            </w:pPr>
            <w:r w:rsidRPr="00D25A14">
              <w:t>Awaiting Review</w:t>
            </w:r>
          </w:p>
        </w:tc>
        <w:tc>
          <w:tcPr>
            <w:tcW w:w="851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FC99D44" w14:textId="5CFD8CB4" w:rsidR="00596F60" w:rsidRDefault="00596F60" w:rsidP="00596F60">
            <w:pPr>
              <w:jc w:val="center"/>
            </w:pPr>
            <w:r>
              <w:t>+</w:t>
            </w:r>
          </w:p>
          <w:p w14:paraId="1E01B761" w14:textId="4444D5C4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42E4CD2E" w14:textId="79AF49A3" w:rsidR="00596F60" w:rsidRDefault="006651D6" w:rsidP="009B6181">
            <w:pPr>
              <w:jc w:val="center"/>
            </w:pPr>
            <w:r>
              <w:t>-</w:t>
            </w:r>
          </w:p>
        </w:tc>
      </w:tr>
      <w:tr w:rsidR="009B6181" w14:paraId="6AF98DB2" w14:textId="1EE4ED1D" w:rsidTr="00582F5F">
        <w:trPr>
          <w:trHeight w:val="300"/>
        </w:trPr>
        <w:tc>
          <w:tcPr>
            <w:tcW w:w="993" w:type="dxa"/>
          </w:tcPr>
          <w:p w14:paraId="1F4FFDC4" w14:textId="3FC96650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5D50E3B7" w14:textId="43F6F0F2" w:rsidR="00596F60" w:rsidRPr="00FC2CC8" w:rsidRDefault="00596F60" w:rsidP="007C32AC">
            <w:pPr>
              <w:jc w:val="center"/>
              <w:rPr>
                <w:highlight w:val="yellow"/>
              </w:rPr>
            </w:pPr>
          </w:p>
        </w:tc>
        <w:tc>
          <w:tcPr>
            <w:tcW w:w="5386" w:type="dxa"/>
          </w:tcPr>
          <w:p w14:paraId="6EF3D9C0" w14:textId="77777777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34722090" w14:textId="77777777" w:rsidR="00596F60" w:rsidRDefault="00596F60" w:rsidP="00596F60"/>
          <w:p w14:paraId="229A6CED" w14:textId="77777777" w:rsidR="00596F60" w:rsidRDefault="00596F60" w:rsidP="00596F60">
            <w:r>
              <w:t>Did not discuss in the meeting.</w:t>
            </w:r>
          </w:p>
          <w:p w14:paraId="033CC1D2" w14:textId="7719C67E" w:rsidR="00596F60" w:rsidRDefault="00596F60" w:rsidP="00596F60"/>
        </w:tc>
        <w:tc>
          <w:tcPr>
            <w:tcW w:w="1134" w:type="dxa"/>
            <w:shd w:val="clear" w:color="auto" w:fill="DEEAF6" w:themeFill="accent5" w:themeFillTint="33"/>
          </w:tcPr>
          <w:p w14:paraId="7B315471" w14:textId="24933E4A" w:rsidR="00596F60" w:rsidRDefault="00596F60" w:rsidP="009B6181">
            <w:pPr>
              <w:jc w:val="center"/>
            </w:pPr>
            <w:r>
              <w:t>Not Started</w:t>
            </w:r>
          </w:p>
        </w:tc>
        <w:tc>
          <w:tcPr>
            <w:tcW w:w="851" w:type="dxa"/>
          </w:tcPr>
          <w:p w14:paraId="4CE167CF" w14:textId="060BCA48" w:rsidR="00596F60" w:rsidRDefault="00596F60" w:rsidP="00596F60">
            <w:pPr>
              <w:jc w:val="center"/>
            </w:pPr>
            <w:r>
              <w:t>Fan</w:t>
            </w:r>
          </w:p>
          <w:p w14:paraId="1CC9AB8C" w14:textId="0D5BED6C" w:rsidR="00596F60" w:rsidRDefault="00596F60" w:rsidP="00596F60">
            <w:pPr>
              <w:jc w:val="center"/>
            </w:pPr>
            <w:r>
              <w:t>+</w:t>
            </w:r>
          </w:p>
          <w:p w14:paraId="0B8AC348" w14:textId="7E584E88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4F693160" w14:textId="195194C5" w:rsidR="00596F60" w:rsidRDefault="00596F60" w:rsidP="009B6181">
            <w:pPr>
              <w:jc w:val="center"/>
            </w:pPr>
            <w:r>
              <w:t>-</w:t>
            </w:r>
          </w:p>
        </w:tc>
      </w:tr>
      <w:tr w:rsidR="009B6181" w14:paraId="6AC146E2" w14:textId="1198006D" w:rsidTr="00582F5F">
        <w:trPr>
          <w:trHeight w:val="300"/>
        </w:trPr>
        <w:tc>
          <w:tcPr>
            <w:tcW w:w="993" w:type="dxa"/>
          </w:tcPr>
          <w:p w14:paraId="5797C1EA" w14:textId="75BA45CE" w:rsidR="00596F60" w:rsidRPr="0094376D" w:rsidRDefault="00596F60" w:rsidP="007C32AC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5C7EFDB3" w14:textId="333A5950" w:rsidR="00596F60" w:rsidRPr="0094376D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511E278" w14:textId="543BB146" w:rsidR="00596F60" w:rsidRPr="00596F60" w:rsidRDefault="00596F60" w:rsidP="00596F60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46A20FDB" w14:textId="77777777" w:rsidR="00596F60" w:rsidRDefault="00596F60" w:rsidP="00596F60"/>
          <w:p w14:paraId="0A0721CF" w14:textId="0829AABF" w:rsidR="00596F60" w:rsidRDefault="00596F60" w:rsidP="00596F60">
            <w:r>
              <w:t>Did not discuss in the meeting.</w:t>
            </w:r>
          </w:p>
          <w:p w14:paraId="466DA051" w14:textId="77777777" w:rsidR="00596F60" w:rsidRDefault="00596F60" w:rsidP="00596F60">
            <w:r>
              <w:t>No further updates until August 2025.</w:t>
            </w:r>
          </w:p>
          <w:p w14:paraId="0ED79C3D" w14:textId="361741C1" w:rsidR="009B6181" w:rsidRPr="009B6181" w:rsidRDefault="009B6181" w:rsidP="00596F60"/>
        </w:tc>
        <w:tc>
          <w:tcPr>
            <w:tcW w:w="1134" w:type="dxa"/>
            <w:shd w:val="clear" w:color="auto" w:fill="FFFF00"/>
          </w:tcPr>
          <w:p w14:paraId="337DA0FC" w14:textId="3B8DCC49" w:rsidR="00596F60" w:rsidRDefault="00596F60" w:rsidP="009B6181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441EC392" w14:textId="1AB003BB" w:rsidR="00596F60" w:rsidRDefault="00596F60" w:rsidP="00596F60">
            <w:pPr>
              <w:jc w:val="center"/>
            </w:pPr>
            <w:r>
              <w:t>Mona</w:t>
            </w:r>
          </w:p>
          <w:p w14:paraId="502C97E3" w14:textId="6D8BD8F3" w:rsidR="00596F60" w:rsidRDefault="00596F60" w:rsidP="00596F60">
            <w:pPr>
              <w:jc w:val="center"/>
            </w:pPr>
            <w:r>
              <w:t>+</w:t>
            </w:r>
          </w:p>
          <w:p w14:paraId="6C932EA0" w14:textId="6B41A38F" w:rsidR="00596F60" w:rsidRDefault="00596F60" w:rsidP="00596F60">
            <w:pPr>
              <w:jc w:val="center"/>
            </w:pPr>
            <w:r>
              <w:t>Jim</w:t>
            </w:r>
          </w:p>
        </w:tc>
        <w:tc>
          <w:tcPr>
            <w:tcW w:w="1134" w:type="dxa"/>
          </w:tcPr>
          <w:p w14:paraId="0F551331" w14:textId="6A5B179F" w:rsidR="00596F60" w:rsidRDefault="009B6181" w:rsidP="009B6181">
            <w:pPr>
              <w:jc w:val="center"/>
            </w:pPr>
            <w:r>
              <w:t>-</w:t>
            </w:r>
          </w:p>
        </w:tc>
      </w:tr>
      <w:tr w:rsidR="009B6181" w14:paraId="0F68B116" w14:textId="4DCDFE1D" w:rsidTr="00582F5F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6ADABA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596F60"/>
          <w:p w14:paraId="19696899" w14:textId="3A7EDDAD" w:rsidR="00596F60" w:rsidRDefault="0037437B" w:rsidP="00596F60">
            <w:r>
              <w:t xml:space="preserve">Mona has received the </w:t>
            </w:r>
            <w:r w:rsidR="00596F60">
              <w:t>1</w:t>
            </w:r>
            <w:r w:rsidR="00596F60" w:rsidRPr="00D25A14">
              <w:rPr>
                <w:vertAlign w:val="superscript"/>
              </w:rPr>
              <w:t>st</w:t>
            </w:r>
            <w:r w:rsidR="00596F60">
              <w:t xml:space="preserve"> draft (simplified version) of the User Guide </w:t>
            </w:r>
            <w:r>
              <w:t xml:space="preserve">from Carrie and sent to Amy to review. </w:t>
            </w:r>
          </w:p>
          <w:p w14:paraId="47512797" w14:textId="4ADF60F2" w:rsidR="00596F60" w:rsidRPr="00D25A14" w:rsidRDefault="00596F60" w:rsidP="00596F60"/>
        </w:tc>
        <w:tc>
          <w:tcPr>
            <w:tcW w:w="1134" w:type="dxa"/>
            <w:shd w:val="clear" w:color="auto" w:fill="FF0000"/>
          </w:tcPr>
          <w:p w14:paraId="0ACC04F2" w14:textId="3514186E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2F519674" w14:textId="19F003F3" w:rsidR="00596F60" w:rsidRDefault="00596F60" w:rsidP="00596F60">
            <w:pPr>
              <w:jc w:val="center"/>
            </w:pPr>
            <w:r>
              <w:t>Mona + Carrie</w:t>
            </w:r>
          </w:p>
        </w:tc>
        <w:tc>
          <w:tcPr>
            <w:tcW w:w="1134" w:type="dxa"/>
          </w:tcPr>
          <w:p w14:paraId="729A8B07" w14:textId="564064DE" w:rsidR="00596F60" w:rsidRDefault="0037437B" w:rsidP="009B6181">
            <w:pPr>
              <w:jc w:val="center"/>
            </w:pPr>
            <w:r>
              <w:t>03/06/25</w:t>
            </w:r>
          </w:p>
        </w:tc>
      </w:tr>
      <w:tr w:rsidR="009B6181" w14:paraId="24B56AA2" w14:textId="2DD48C59" w:rsidTr="00582F5F">
        <w:trPr>
          <w:trHeight w:val="300"/>
        </w:trPr>
        <w:tc>
          <w:tcPr>
            <w:tcW w:w="993" w:type="dxa"/>
          </w:tcPr>
          <w:p w14:paraId="0307A2BA" w14:textId="4A7273E8" w:rsidR="00596F60" w:rsidRDefault="00596F60" w:rsidP="007C3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598B7A11" w14:textId="77777777" w:rsidR="00596F60" w:rsidRDefault="00596F60" w:rsidP="007C32AC">
            <w:pPr>
              <w:jc w:val="center"/>
            </w:pPr>
          </w:p>
          <w:p w14:paraId="175A9063" w14:textId="51B38951" w:rsidR="00596F60" w:rsidRDefault="00596F60" w:rsidP="007C32AC">
            <w:pPr>
              <w:jc w:val="center"/>
            </w:pPr>
          </w:p>
          <w:p w14:paraId="2CD2AECE" w14:textId="77777777" w:rsidR="00596F60" w:rsidRPr="008771D1" w:rsidRDefault="00596F60" w:rsidP="007C32A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86" w:type="dxa"/>
          </w:tcPr>
          <w:p w14:paraId="6139B237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7D76C377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6A02EEF1" w14:textId="77777777" w:rsidR="009B6181" w:rsidRDefault="009B6181" w:rsidP="00596F60"/>
          <w:p w14:paraId="564F6934" w14:textId="0E24A833" w:rsidR="00596F60" w:rsidRDefault="00596F60" w:rsidP="00596F60">
            <w:r>
              <w:t>Did not discuss in the meeting.</w:t>
            </w:r>
            <w:r w:rsidR="009B6181">
              <w:t xml:space="preserve">  </w:t>
            </w:r>
            <w:r>
              <w:t>No further updates until August 2025.</w:t>
            </w:r>
          </w:p>
          <w:p w14:paraId="2988D401" w14:textId="17A499E1" w:rsidR="009B6181" w:rsidRPr="009B6181" w:rsidRDefault="009B6181" w:rsidP="00596F60"/>
        </w:tc>
        <w:tc>
          <w:tcPr>
            <w:tcW w:w="1134" w:type="dxa"/>
            <w:shd w:val="clear" w:color="auto" w:fill="FFFF00"/>
          </w:tcPr>
          <w:p w14:paraId="54DDF692" w14:textId="66C4ADA8" w:rsidR="00596F60" w:rsidRDefault="009B6181" w:rsidP="009B6181">
            <w:pPr>
              <w:jc w:val="center"/>
            </w:pPr>
            <w:r>
              <w:t>On Hold</w:t>
            </w:r>
          </w:p>
        </w:tc>
        <w:tc>
          <w:tcPr>
            <w:tcW w:w="851" w:type="dxa"/>
          </w:tcPr>
          <w:p w14:paraId="7E862A5E" w14:textId="77777777" w:rsidR="009B6181" w:rsidRDefault="00596F60" w:rsidP="00596F60">
            <w:pPr>
              <w:jc w:val="center"/>
            </w:pPr>
            <w:r>
              <w:t xml:space="preserve">Annie </w:t>
            </w:r>
          </w:p>
          <w:p w14:paraId="3FFB444B" w14:textId="2577C325" w:rsidR="009B6181" w:rsidRDefault="00596F60" w:rsidP="00596F60">
            <w:pPr>
              <w:jc w:val="center"/>
            </w:pPr>
            <w:r>
              <w:t xml:space="preserve">+ </w:t>
            </w:r>
          </w:p>
          <w:p w14:paraId="27D43774" w14:textId="3F83D7D1" w:rsidR="00596F60" w:rsidRDefault="00596F60" w:rsidP="00596F60">
            <w:pPr>
              <w:jc w:val="center"/>
            </w:pPr>
            <w:r>
              <w:t>Jim</w:t>
            </w:r>
          </w:p>
          <w:p w14:paraId="3CD119F8" w14:textId="77777777" w:rsidR="00596F60" w:rsidRDefault="00596F60" w:rsidP="00596F60">
            <w:pPr>
              <w:jc w:val="center"/>
            </w:pPr>
          </w:p>
        </w:tc>
        <w:tc>
          <w:tcPr>
            <w:tcW w:w="1134" w:type="dxa"/>
          </w:tcPr>
          <w:p w14:paraId="4E18EF19" w14:textId="2FFCEFC5" w:rsidR="00596F60" w:rsidRDefault="009B6181" w:rsidP="009B6181">
            <w:pPr>
              <w:jc w:val="center"/>
            </w:pPr>
            <w:r>
              <w:t>-</w:t>
            </w:r>
          </w:p>
        </w:tc>
      </w:tr>
      <w:tr w:rsidR="009B6181" w14:paraId="363D5208" w14:textId="2D9977D6" w:rsidTr="00582F5F">
        <w:trPr>
          <w:trHeight w:val="300"/>
        </w:trPr>
        <w:tc>
          <w:tcPr>
            <w:tcW w:w="993" w:type="dxa"/>
          </w:tcPr>
          <w:p w14:paraId="1150DE03" w14:textId="02567927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2F5582A1" w14:textId="1154CDF9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24D53F8E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86D40AA" w14:textId="77777777" w:rsidR="009B6181" w:rsidRDefault="009B6181" w:rsidP="00596F60"/>
          <w:p w14:paraId="36A7BCE1" w14:textId="1A4FAC23" w:rsidR="009B6181" w:rsidRDefault="00596F60" w:rsidP="00596F60">
            <w:r>
              <w:t>Jason of IT will discuss with Fan after the existing changes adopt to production.</w:t>
            </w:r>
          </w:p>
          <w:p w14:paraId="7E811D9F" w14:textId="4A7FEB28" w:rsidR="009B6181" w:rsidRDefault="009B6181" w:rsidP="00596F60"/>
        </w:tc>
        <w:tc>
          <w:tcPr>
            <w:tcW w:w="1134" w:type="dxa"/>
            <w:shd w:val="clear" w:color="auto" w:fill="DEEAF6" w:themeFill="accent5" w:themeFillTint="33"/>
          </w:tcPr>
          <w:p w14:paraId="28F0458D" w14:textId="48607B9E" w:rsidR="00596F60" w:rsidRDefault="009B6181" w:rsidP="009B6181">
            <w:pPr>
              <w:jc w:val="center"/>
            </w:pPr>
            <w:r w:rsidRPr="00D17977">
              <w:t>Not Started</w:t>
            </w:r>
          </w:p>
        </w:tc>
        <w:tc>
          <w:tcPr>
            <w:tcW w:w="851" w:type="dxa"/>
          </w:tcPr>
          <w:p w14:paraId="35B62D9D" w14:textId="77777777" w:rsidR="009B6181" w:rsidRDefault="00596F60" w:rsidP="00596F60">
            <w:pPr>
              <w:jc w:val="center"/>
            </w:pPr>
            <w:r>
              <w:t xml:space="preserve">Fan </w:t>
            </w:r>
          </w:p>
          <w:p w14:paraId="194CB60E" w14:textId="77777777" w:rsidR="009B6181" w:rsidRDefault="00596F60" w:rsidP="00596F60">
            <w:pPr>
              <w:jc w:val="center"/>
            </w:pPr>
            <w:r>
              <w:t xml:space="preserve">+ </w:t>
            </w:r>
          </w:p>
          <w:p w14:paraId="317D62D5" w14:textId="2900A87E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739719D7" w14:textId="7920F95C" w:rsidR="00596F60" w:rsidRDefault="009B6181" w:rsidP="009B6181">
            <w:pPr>
              <w:jc w:val="center"/>
            </w:pPr>
            <w:r>
              <w:t>-</w:t>
            </w:r>
          </w:p>
        </w:tc>
      </w:tr>
      <w:tr w:rsidR="009B6181" w14:paraId="44D3BF22" w14:textId="06C749CA" w:rsidTr="00582F5F">
        <w:trPr>
          <w:trHeight w:val="300"/>
        </w:trPr>
        <w:tc>
          <w:tcPr>
            <w:tcW w:w="993" w:type="dxa"/>
          </w:tcPr>
          <w:p w14:paraId="69B12A53" w14:textId="50D79BD1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596F60" w:rsidRPr="00D17977" w:rsidRDefault="00596F60" w:rsidP="007C32AC">
            <w:pPr>
              <w:jc w:val="center"/>
            </w:pPr>
          </w:p>
          <w:p w14:paraId="2A0A4BAD" w14:textId="5244B2D0" w:rsidR="00596F60" w:rsidRPr="00D17977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9024572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9B6181" w:rsidRDefault="009B6181" w:rsidP="00596F60"/>
          <w:p w14:paraId="601BF509" w14:textId="1CAD6185" w:rsidR="009B6181" w:rsidRDefault="00596F60" w:rsidP="00596F60">
            <w:proofErr w:type="spellStart"/>
            <w:r>
              <w:t>eCAR</w:t>
            </w:r>
            <w:proofErr w:type="spellEnd"/>
            <w:r>
              <w:t xml:space="preserve"> has been </w:t>
            </w:r>
            <w:r w:rsidR="0037437B">
              <w:t>approved and the meeting with vendor has been scheduled in week 26</w:t>
            </w:r>
            <w:r w:rsidR="0037437B" w:rsidRPr="0037437B">
              <w:rPr>
                <w:vertAlign w:val="superscript"/>
              </w:rPr>
              <w:t>th</w:t>
            </w:r>
            <w:r w:rsidR="0037437B">
              <w:t xml:space="preserve"> May.</w:t>
            </w:r>
          </w:p>
          <w:p w14:paraId="6805E29E" w14:textId="5227367C" w:rsidR="009B6181" w:rsidRDefault="009B6181" w:rsidP="00596F60"/>
        </w:tc>
        <w:tc>
          <w:tcPr>
            <w:tcW w:w="1134" w:type="dxa"/>
            <w:shd w:val="clear" w:color="auto" w:fill="FF0000"/>
          </w:tcPr>
          <w:p w14:paraId="00F37983" w14:textId="6B3FA360" w:rsidR="00596F60" w:rsidRDefault="009B6181" w:rsidP="009B6181">
            <w:pPr>
              <w:jc w:val="center"/>
            </w:pPr>
            <w:r w:rsidRPr="00D17977">
              <w:t>In Progress</w:t>
            </w:r>
          </w:p>
        </w:tc>
        <w:tc>
          <w:tcPr>
            <w:tcW w:w="851" w:type="dxa"/>
          </w:tcPr>
          <w:p w14:paraId="5629CD89" w14:textId="77777777" w:rsidR="009B6181" w:rsidRDefault="00596F60" w:rsidP="00596F60">
            <w:pPr>
              <w:jc w:val="center"/>
            </w:pPr>
            <w:r>
              <w:t xml:space="preserve">Eric </w:t>
            </w:r>
          </w:p>
          <w:p w14:paraId="625C52C1" w14:textId="77777777" w:rsidR="009B6181" w:rsidRDefault="00596F60" w:rsidP="00596F60">
            <w:pPr>
              <w:jc w:val="center"/>
            </w:pPr>
            <w:r>
              <w:t xml:space="preserve">+ </w:t>
            </w:r>
          </w:p>
          <w:p w14:paraId="2688C560" w14:textId="1CBEE4CD" w:rsidR="00596F60" w:rsidRDefault="00596F60" w:rsidP="00596F60">
            <w:pPr>
              <w:jc w:val="center"/>
            </w:pPr>
            <w:r>
              <w:t>Pingie</w:t>
            </w:r>
          </w:p>
        </w:tc>
        <w:tc>
          <w:tcPr>
            <w:tcW w:w="1134" w:type="dxa"/>
          </w:tcPr>
          <w:p w14:paraId="26668774" w14:textId="343DD494" w:rsidR="00596F60" w:rsidRDefault="00B42A7A" w:rsidP="009B6181">
            <w:pPr>
              <w:jc w:val="center"/>
            </w:pPr>
            <w:r>
              <w:t>-</w:t>
            </w:r>
          </w:p>
        </w:tc>
      </w:tr>
      <w:tr w:rsidR="009B6181" w14:paraId="7A491EB4" w14:textId="4667220A" w:rsidTr="002D6659">
        <w:trPr>
          <w:trHeight w:val="300"/>
        </w:trPr>
        <w:tc>
          <w:tcPr>
            <w:tcW w:w="993" w:type="dxa"/>
          </w:tcPr>
          <w:p w14:paraId="50A21972" w14:textId="399FBD0E" w:rsidR="00596F60" w:rsidRDefault="00596F60" w:rsidP="007C32AC">
            <w:pPr>
              <w:jc w:val="center"/>
              <w:rPr>
                <w:b/>
                <w:bCs/>
              </w:rPr>
            </w:pPr>
            <w:bookmarkStart w:id="3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7C64F026" w14:textId="557698FD" w:rsidR="00596F60" w:rsidRDefault="00596F60" w:rsidP="007C32AC">
            <w:pPr>
              <w:jc w:val="center"/>
            </w:pPr>
          </w:p>
          <w:p w14:paraId="475DE3E1" w14:textId="77777777" w:rsidR="00596F60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12706693" w14:textId="77777777" w:rsidR="009B6181" w:rsidRPr="009B6181" w:rsidRDefault="009B6181" w:rsidP="009B6181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123C44BA" w14:textId="77777777" w:rsidR="009B6181" w:rsidRDefault="009B6181" w:rsidP="00596F60"/>
          <w:p w14:paraId="776A29E6" w14:textId="600A9D2A" w:rsidR="00596F60" w:rsidRDefault="00596F60" w:rsidP="00596F60">
            <w:r>
              <w:t>No Discussed.</w:t>
            </w:r>
          </w:p>
          <w:p w14:paraId="0ED546E7" w14:textId="77777777" w:rsidR="00596F60" w:rsidRDefault="00596F60" w:rsidP="00596F60">
            <w:r>
              <w:t>No further updates until Q3.</w:t>
            </w:r>
          </w:p>
          <w:p w14:paraId="77FC152A" w14:textId="75F8161A" w:rsidR="00BD1CEF" w:rsidRPr="00BD1CEF" w:rsidRDefault="00BD1CEF" w:rsidP="00596F60"/>
        </w:tc>
        <w:tc>
          <w:tcPr>
            <w:tcW w:w="1134" w:type="dxa"/>
            <w:shd w:val="clear" w:color="auto" w:fill="DEEAF6" w:themeFill="accent5" w:themeFillTint="33"/>
          </w:tcPr>
          <w:p w14:paraId="0672DC4E" w14:textId="24563B54" w:rsidR="00596F60" w:rsidRDefault="009B6181" w:rsidP="009B6181">
            <w:pPr>
              <w:jc w:val="center"/>
            </w:pPr>
            <w:r>
              <w:t>Not Started</w:t>
            </w:r>
          </w:p>
        </w:tc>
        <w:tc>
          <w:tcPr>
            <w:tcW w:w="851" w:type="dxa"/>
          </w:tcPr>
          <w:p w14:paraId="5911EDB8" w14:textId="77777777" w:rsidR="00BD1CEF" w:rsidRDefault="00596F60" w:rsidP="00596F60">
            <w:pPr>
              <w:jc w:val="center"/>
            </w:pPr>
            <w:r>
              <w:t xml:space="preserve">Annie </w:t>
            </w:r>
          </w:p>
          <w:p w14:paraId="7934C1DC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645752AB" w14:textId="1FD994F8" w:rsidR="00596F60" w:rsidRDefault="00596F60" w:rsidP="00596F60">
            <w:pPr>
              <w:jc w:val="center"/>
            </w:pPr>
            <w:r>
              <w:t>Carrie/Jim</w:t>
            </w:r>
          </w:p>
          <w:p w14:paraId="33D46225" w14:textId="77777777" w:rsidR="00596F60" w:rsidRDefault="00596F60" w:rsidP="00596F60">
            <w:pPr>
              <w:jc w:val="center"/>
            </w:pPr>
          </w:p>
        </w:tc>
        <w:tc>
          <w:tcPr>
            <w:tcW w:w="1134" w:type="dxa"/>
          </w:tcPr>
          <w:p w14:paraId="7D91BC9C" w14:textId="615852D5" w:rsidR="00596F60" w:rsidRDefault="00E00DAE" w:rsidP="009B6181">
            <w:pPr>
              <w:jc w:val="center"/>
            </w:pPr>
            <w:r>
              <w:t>-</w:t>
            </w:r>
          </w:p>
        </w:tc>
      </w:tr>
      <w:bookmarkEnd w:id="3"/>
      <w:tr w:rsidR="009B6181" w14:paraId="678B4896" w14:textId="5AFDAADA" w:rsidTr="002D6659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33417D58" w:rsidR="00596F60" w:rsidRDefault="00596F60" w:rsidP="00596F60">
            <w:r>
              <w:t xml:space="preserve">Vicky </w:t>
            </w:r>
            <w:r w:rsidR="002D6659">
              <w:t xml:space="preserve">has provided the </w:t>
            </w:r>
            <w:r w:rsidR="004923F9">
              <w:t xml:space="preserve">relevant information to IT and </w:t>
            </w:r>
            <w:r>
              <w:t xml:space="preserve">will discuss with IT </w:t>
            </w:r>
            <w:r w:rsidR="004923F9">
              <w:t>later.</w:t>
            </w:r>
          </w:p>
          <w:p w14:paraId="37C6FAAB" w14:textId="0FB81518" w:rsidR="00596F60" w:rsidRPr="002D7CF3" w:rsidRDefault="00596F60" w:rsidP="00596F60"/>
        </w:tc>
        <w:tc>
          <w:tcPr>
            <w:tcW w:w="1134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134" w:type="dxa"/>
          </w:tcPr>
          <w:p w14:paraId="5090428A" w14:textId="6B8C2509" w:rsidR="00596F60" w:rsidRDefault="004923F9" w:rsidP="009B6181">
            <w:pPr>
              <w:jc w:val="center"/>
            </w:pPr>
            <w:r>
              <w:t>03/06/25</w:t>
            </w:r>
          </w:p>
        </w:tc>
      </w:tr>
      <w:tr w:rsidR="009B6181" w14:paraId="1BD6D8EE" w14:textId="49557DB3" w:rsidTr="002D6659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71979FC" w14:textId="112FE543" w:rsidR="00596F60" w:rsidRDefault="004923F9" w:rsidP="00596F60">
            <w:r>
              <w:t>There will be a big change on the Credit Note process.</w:t>
            </w:r>
          </w:p>
          <w:p w14:paraId="680C110C" w14:textId="164B3633" w:rsidR="000266FA" w:rsidRPr="00E37EA7" w:rsidRDefault="000266FA" w:rsidP="00596F60">
            <w:r>
              <w:t>Improve the approval flow in JDE (Payment Claim, and CM)</w:t>
            </w:r>
            <w:r w:rsidR="00ED145D">
              <w:t xml:space="preserve"> and</w:t>
            </w:r>
            <w:r w:rsidR="00EB5A5F">
              <w:t xml:space="preserve"> capture reasons for credit.</w:t>
            </w:r>
          </w:p>
          <w:p w14:paraId="51FAC14F" w14:textId="71CDFB1D" w:rsidR="00596F60" w:rsidRPr="000B1DCA" w:rsidRDefault="00596F60" w:rsidP="00596F60"/>
        </w:tc>
        <w:tc>
          <w:tcPr>
            <w:tcW w:w="1134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851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134" w:type="dxa"/>
          </w:tcPr>
          <w:p w14:paraId="6FC4267F" w14:textId="46F12EF0" w:rsidR="00596F60" w:rsidRPr="6349CB32" w:rsidRDefault="0029158E" w:rsidP="009B6181">
            <w:pPr>
              <w:jc w:val="center"/>
            </w:pPr>
            <w:r>
              <w:t>-</w:t>
            </w:r>
          </w:p>
        </w:tc>
      </w:tr>
      <w:tr w:rsidR="009B6181" w14:paraId="00D7478E" w14:textId="5305DA9C" w:rsidTr="002D6659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5386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42F0325" w14:textId="2DA27951" w:rsidR="00596F60" w:rsidRDefault="004923F9" w:rsidP="00596F60">
            <w:r>
              <w:t>Both</w:t>
            </w:r>
            <w:r w:rsidR="00596F60">
              <w:t xml:space="preserve"> demonstration of Blackline </w:t>
            </w:r>
            <w:r>
              <w:t>and JDE Settlem</w:t>
            </w:r>
            <w:r w:rsidR="0029158E">
              <w:t>e</w:t>
            </w:r>
            <w:r>
              <w:t>nt function have been done.</w:t>
            </w:r>
            <w:r w:rsidR="0029158E">
              <w:t xml:space="preserve">  A “Pool of Concepts” will be prepared by John Field for consideration.  Macau maybe the pilot to implement the AR Settlement in 2026.</w:t>
            </w:r>
          </w:p>
          <w:p w14:paraId="3C1EB374" w14:textId="033CD408" w:rsidR="00596F60" w:rsidRPr="00D21736" w:rsidRDefault="00596F60" w:rsidP="00596F60"/>
        </w:tc>
        <w:tc>
          <w:tcPr>
            <w:tcW w:w="1134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851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134" w:type="dxa"/>
          </w:tcPr>
          <w:p w14:paraId="22A071E8" w14:textId="7381EFB1" w:rsidR="00596F60" w:rsidRDefault="0029158E" w:rsidP="009B6181">
            <w:pPr>
              <w:jc w:val="center"/>
            </w:pPr>
            <w:r>
              <w:t>-</w:t>
            </w:r>
          </w:p>
        </w:tc>
      </w:tr>
      <w:bookmarkEnd w:id="2"/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55E1D31B" w14:textId="77777777" w:rsidR="000C70F6" w:rsidRDefault="000C70F6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7141"/>
      </w:tblGrid>
      <w:tr w:rsidR="00AE77B0" w14:paraId="0A57BD96" w14:textId="77777777" w:rsidTr="00B80E57">
        <w:tc>
          <w:tcPr>
            <w:tcW w:w="2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4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87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C60885" w14:textId="66635AAC" w:rsidR="00D030C1" w:rsidRDefault="00C1213A" w:rsidP="00CF7DAA">
            <w:r>
              <w:t>Update the CCC Business Case</w:t>
            </w:r>
            <w:r w:rsidR="697BD09C">
              <w:t xml:space="preserve"> (BC)</w:t>
            </w:r>
            <w:r>
              <w:t>.</w:t>
            </w:r>
          </w:p>
          <w:p w14:paraId="2B46A926" w14:textId="15BE67E4" w:rsidR="00C1213A" w:rsidRDefault="004923F9" w:rsidP="00C1213A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FA2794">
              <w:t xml:space="preserve">he internal approval of setting up the bank account </w:t>
            </w:r>
            <w:r w:rsidR="0029158E">
              <w:t>was</w:t>
            </w:r>
            <w:r w:rsidR="00FA2794">
              <w:t xml:space="preserve"> completed.</w:t>
            </w:r>
          </w:p>
          <w:p w14:paraId="4B8D6490" w14:textId="2A36299F" w:rsidR="00722F61" w:rsidRDefault="004923F9" w:rsidP="0029158E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D25A14">
              <w:t>he company registration</w:t>
            </w:r>
            <w:r w:rsidR="000C70F6">
              <w:t xml:space="preserve"> </w:t>
            </w:r>
            <w:r>
              <w:t xml:space="preserve">is still in progress </w:t>
            </w:r>
            <w:r w:rsidR="000C70F6">
              <w:t>in China.</w:t>
            </w:r>
          </w:p>
        </w:tc>
      </w:tr>
      <w:tr w:rsidR="00C1213A" w14:paraId="7E1C1BCA" w14:textId="77777777" w:rsidTr="00B80E57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00DF5BB" w14:textId="30AEADF3" w:rsidR="00C1213A" w:rsidRDefault="00C1213A" w:rsidP="6349CB32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AOB 2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B589F5" w14:textId="77777777" w:rsidR="00CB134D" w:rsidRDefault="000C70F6" w:rsidP="00CF7DAA">
            <w:r w:rsidRPr="000C70F6">
              <w:t xml:space="preserve">Discount line (purchasing):  </w:t>
            </w:r>
          </w:p>
          <w:p w14:paraId="4298E1D2" w14:textId="15A0FCC6" w:rsidR="00722F61" w:rsidRDefault="00C45EA7" w:rsidP="00C45EA7">
            <w:r>
              <w:t xml:space="preserve">Annie emphasized that no discount prices should be printed on the deliver notes.  </w:t>
            </w:r>
            <w:r w:rsidR="000C70F6">
              <w:t xml:space="preserve">Carrie will </w:t>
            </w:r>
            <w:r w:rsidR="0029158E">
              <w:t>schedule a meeting with Cindy Yuen, Annie Cheung, Cindy Chiang, Rita Wan and Mona Lok to discuss the details.</w:t>
            </w:r>
            <w:r>
              <w:t xml:space="preserve">  </w:t>
            </w:r>
          </w:p>
        </w:tc>
      </w:tr>
      <w:tr w:rsidR="00D74533" w:rsidRPr="00D74533" w14:paraId="2AB632BC" w14:textId="77777777" w:rsidTr="000663A8">
        <w:tc>
          <w:tcPr>
            <w:tcW w:w="226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C03895A" w14:textId="0734BCE9" w:rsidR="00D74533" w:rsidRPr="6349CB32" w:rsidRDefault="00D74533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3</w:t>
            </w:r>
          </w:p>
        </w:tc>
        <w:tc>
          <w:tcPr>
            <w:tcW w:w="879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96707DF" w14:textId="0D45B687" w:rsidR="00D74533" w:rsidRPr="00D74533" w:rsidRDefault="00D74533" w:rsidP="00CF7DAA">
            <w:r w:rsidRPr="00D74533">
              <w:t>JDE Function “Scroll to End”</w:t>
            </w:r>
          </w:p>
          <w:p w14:paraId="0768AC3A" w14:textId="77777777" w:rsidR="0029158E" w:rsidRDefault="0029158E" w:rsidP="00722F61">
            <w:r>
              <w:t>Vicky c</w:t>
            </w:r>
            <w:r w:rsidR="002D6659">
              <w:t xml:space="preserve">onsulted with IT, </w:t>
            </w:r>
            <w:r w:rsidR="002D6659" w:rsidRPr="002D6659">
              <w:t>if the number of records is not huge, it should be fine to enable the “scroll to the end” function</w:t>
            </w:r>
            <w:r w:rsidR="002D6659">
              <w:t xml:space="preserve">.  </w:t>
            </w:r>
          </w:p>
          <w:p w14:paraId="4EB90308" w14:textId="5C0DE45C" w:rsidR="00722F61" w:rsidRPr="00B80E57" w:rsidRDefault="002D6659" w:rsidP="00C45EA7">
            <w:pPr>
              <w:rPr>
                <w:b/>
                <w:bCs/>
              </w:rPr>
            </w:pPr>
            <w:r>
              <w:t>It is waiting for Annie’s approval.</w:t>
            </w:r>
            <w:r w:rsidR="00C45EA7">
              <w:t xml:space="preserve">  </w:t>
            </w:r>
            <w:r>
              <w:t xml:space="preserve">Annie </w:t>
            </w:r>
            <w:r w:rsidR="004923F9">
              <w:t xml:space="preserve">requested team managers and their subordinates </w:t>
            </w:r>
            <w:r w:rsidR="00C00548">
              <w:t xml:space="preserve">to understand the potential risks and </w:t>
            </w:r>
            <w:r w:rsidR="004923F9">
              <w:t>to commit the use of the filter function to narrow the records found.</w:t>
            </w:r>
          </w:p>
        </w:tc>
      </w:tr>
      <w:tr w:rsidR="000663A8" w:rsidRPr="00D74533" w14:paraId="1CA6681E" w14:textId="77777777" w:rsidTr="00CB134D">
        <w:tc>
          <w:tcPr>
            <w:tcW w:w="2263" w:type="dxa"/>
            <w:tcBorders>
              <w:top w:val="single" w:sz="8" w:space="0" w:color="000000" w:themeColor="text1"/>
            </w:tcBorders>
          </w:tcPr>
          <w:p w14:paraId="477D338D" w14:textId="7A4460C6" w:rsidR="000663A8" w:rsidRDefault="000663A8" w:rsidP="6349CB32">
            <w:pPr>
              <w:rPr>
                <w:b/>
                <w:bCs/>
              </w:rPr>
            </w:pPr>
            <w:r>
              <w:rPr>
                <w:b/>
                <w:bCs/>
              </w:rPr>
              <w:t>AOB 4</w:t>
            </w:r>
          </w:p>
        </w:tc>
        <w:tc>
          <w:tcPr>
            <w:tcW w:w="8797" w:type="dxa"/>
            <w:tcBorders>
              <w:top w:val="single" w:sz="8" w:space="0" w:color="000000" w:themeColor="text1"/>
            </w:tcBorders>
          </w:tcPr>
          <w:p w14:paraId="3EDA8914" w14:textId="77777777" w:rsidR="000663A8" w:rsidRDefault="000663A8" w:rsidP="00CF7DAA">
            <w:r>
              <w:t>e-Statement</w:t>
            </w:r>
          </w:p>
          <w:p w14:paraId="292F74F3" w14:textId="595AAA35" w:rsidR="000663A8" w:rsidRPr="00D74533" w:rsidRDefault="000663A8" w:rsidP="00CF7DAA">
            <w:r>
              <w:t>Fan proposed to add the e-Statement into the priority list.</w:t>
            </w:r>
          </w:p>
        </w:tc>
      </w:tr>
      <w:bookmarkEnd w:id="4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6D9034DD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AD3703">
        <w:t>June 4</w:t>
      </w:r>
      <w:r w:rsidR="00AD3703" w:rsidRPr="00AD3703">
        <w:rPr>
          <w:vertAlign w:val="superscript"/>
        </w:rPr>
        <w:t>th</w:t>
      </w:r>
      <w:proofErr w:type="gramStart"/>
      <w:r w:rsidR="00AD3703">
        <w:t xml:space="preserve"> </w:t>
      </w:r>
      <w:r>
        <w:t>2025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16A0A094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AD3703">
        <w:t>0</w:t>
      </w:r>
      <w:r w:rsidR="0036756E">
        <w:t>:</w:t>
      </w:r>
      <w:r w:rsidR="00AD3703">
        <w:t>50</w:t>
      </w:r>
      <w:r w:rsidR="00F0443F">
        <w:t>am</w:t>
      </w:r>
    </w:p>
    <w:sectPr w:rsidR="007544E7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7CCB" w14:textId="77777777" w:rsidR="00EA2035" w:rsidRDefault="00EA2035" w:rsidP="00F37439">
      <w:pPr>
        <w:spacing w:after="0" w:line="240" w:lineRule="auto"/>
      </w:pPr>
      <w:r>
        <w:separator/>
      </w:r>
    </w:p>
  </w:endnote>
  <w:endnote w:type="continuationSeparator" w:id="0">
    <w:p w14:paraId="200A91CB" w14:textId="77777777" w:rsidR="00EA2035" w:rsidRDefault="00EA2035" w:rsidP="00F37439">
      <w:pPr>
        <w:spacing w:after="0" w:line="240" w:lineRule="auto"/>
      </w:pPr>
      <w:r>
        <w:continuationSeparator/>
      </w:r>
    </w:p>
  </w:endnote>
  <w:endnote w:type="continuationNotice" w:id="1">
    <w:p w14:paraId="09ABDF17" w14:textId="77777777" w:rsidR="00EA2035" w:rsidRDefault="00EA2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5D76" w14:textId="77777777" w:rsidR="00EA2035" w:rsidRDefault="00EA2035" w:rsidP="00F37439">
      <w:pPr>
        <w:spacing w:after="0" w:line="240" w:lineRule="auto"/>
      </w:pPr>
      <w:r>
        <w:separator/>
      </w:r>
    </w:p>
  </w:footnote>
  <w:footnote w:type="continuationSeparator" w:id="0">
    <w:p w14:paraId="4EACFBF8" w14:textId="77777777" w:rsidR="00EA2035" w:rsidRDefault="00EA2035" w:rsidP="00F37439">
      <w:pPr>
        <w:spacing w:after="0" w:line="240" w:lineRule="auto"/>
      </w:pPr>
      <w:r>
        <w:continuationSeparator/>
      </w:r>
    </w:p>
  </w:footnote>
  <w:footnote w:type="continuationNotice" w:id="1">
    <w:p w14:paraId="28A02FFD" w14:textId="77777777" w:rsidR="00EA2035" w:rsidRDefault="00EA20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17"/>
  </w:num>
  <w:num w:numId="2" w16cid:durableId="602111056">
    <w:abstractNumId w:val="3"/>
  </w:num>
  <w:num w:numId="3" w16cid:durableId="1943606575">
    <w:abstractNumId w:val="14"/>
  </w:num>
  <w:num w:numId="4" w16cid:durableId="1356880840">
    <w:abstractNumId w:val="8"/>
  </w:num>
  <w:num w:numId="5" w16cid:durableId="267398681">
    <w:abstractNumId w:val="11"/>
  </w:num>
  <w:num w:numId="6" w16cid:durableId="2085834149">
    <w:abstractNumId w:val="7"/>
  </w:num>
  <w:num w:numId="7" w16cid:durableId="1708874814">
    <w:abstractNumId w:val="18"/>
  </w:num>
  <w:num w:numId="8" w16cid:durableId="952589291">
    <w:abstractNumId w:val="12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9"/>
  </w:num>
  <w:num w:numId="13" w16cid:durableId="295264058">
    <w:abstractNumId w:val="5"/>
  </w:num>
  <w:num w:numId="14" w16cid:durableId="227351262">
    <w:abstractNumId w:val="16"/>
  </w:num>
  <w:num w:numId="15" w16cid:durableId="1950117116">
    <w:abstractNumId w:val="6"/>
  </w:num>
  <w:num w:numId="16" w16cid:durableId="222183521">
    <w:abstractNumId w:val="13"/>
  </w:num>
  <w:num w:numId="17" w16cid:durableId="1995643336">
    <w:abstractNumId w:val="15"/>
  </w:num>
  <w:num w:numId="18" w16cid:durableId="831338058">
    <w:abstractNumId w:val="10"/>
  </w:num>
  <w:num w:numId="19" w16cid:durableId="66161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14321"/>
    <w:rsid w:val="000266FA"/>
    <w:rsid w:val="000361B2"/>
    <w:rsid w:val="00037079"/>
    <w:rsid w:val="000440E2"/>
    <w:rsid w:val="00053C2F"/>
    <w:rsid w:val="00055379"/>
    <w:rsid w:val="00055FE5"/>
    <w:rsid w:val="000663A8"/>
    <w:rsid w:val="00073488"/>
    <w:rsid w:val="00082398"/>
    <w:rsid w:val="00082EDE"/>
    <w:rsid w:val="00092C54"/>
    <w:rsid w:val="0009328C"/>
    <w:rsid w:val="00096BB4"/>
    <w:rsid w:val="000B0AD5"/>
    <w:rsid w:val="000B1DCA"/>
    <w:rsid w:val="000C0567"/>
    <w:rsid w:val="000C70F6"/>
    <w:rsid w:val="000C7330"/>
    <w:rsid w:val="000C74F0"/>
    <w:rsid w:val="000F0BF3"/>
    <w:rsid w:val="000F7B5A"/>
    <w:rsid w:val="00100321"/>
    <w:rsid w:val="00117C27"/>
    <w:rsid w:val="00126152"/>
    <w:rsid w:val="00132642"/>
    <w:rsid w:val="001456B2"/>
    <w:rsid w:val="0017537E"/>
    <w:rsid w:val="001901ED"/>
    <w:rsid w:val="00192944"/>
    <w:rsid w:val="001946D5"/>
    <w:rsid w:val="00196146"/>
    <w:rsid w:val="001B53A0"/>
    <w:rsid w:val="001B7649"/>
    <w:rsid w:val="001C38CE"/>
    <w:rsid w:val="001C634C"/>
    <w:rsid w:val="001D1750"/>
    <w:rsid w:val="001D4F02"/>
    <w:rsid w:val="001E6652"/>
    <w:rsid w:val="001F7DA2"/>
    <w:rsid w:val="0020377F"/>
    <w:rsid w:val="00214354"/>
    <w:rsid w:val="00215797"/>
    <w:rsid w:val="00225678"/>
    <w:rsid w:val="0023152B"/>
    <w:rsid w:val="002410EF"/>
    <w:rsid w:val="00242FEE"/>
    <w:rsid w:val="00245785"/>
    <w:rsid w:val="00245902"/>
    <w:rsid w:val="00251982"/>
    <w:rsid w:val="00260496"/>
    <w:rsid w:val="0026309A"/>
    <w:rsid w:val="00281F0A"/>
    <w:rsid w:val="00282A63"/>
    <w:rsid w:val="00286A32"/>
    <w:rsid w:val="0029158E"/>
    <w:rsid w:val="00296050"/>
    <w:rsid w:val="002A31D3"/>
    <w:rsid w:val="002A618E"/>
    <w:rsid w:val="002A73E0"/>
    <w:rsid w:val="002D2144"/>
    <w:rsid w:val="002D349E"/>
    <w:rsid w:val="002D473A"/>
    <w:rsid w:val="002D6659"/>
    <w:rsid w:val="002D7CF3"/>
    <w:rsid w:val="002E1034"/>
    <w:rsid w:val="002E77CC"/>
    <w:rsid w:val="00311DB9"/>
    <w:rsid w:val="003147E3"/>
    <w:rsid w:val="00314F66"/>
    <w:rsid w:val="00333398"/>
    <w:rsid w:val="00335502"/>
    <w:rsid w:val="00343BFE"/>
    <w:rsid w:val="003619EC"/>
    <w:rsid w:val="0036756E"/>
    <w:rsid w:val="0037437B"/>
    <w:rsid w:val="00375E7D"/>
    <w:rsid w:val="003810B0"/>
    <w:rsid w:val="00383A6F"/>
    <w:rsid w:val="003A2AB4"/>
    <w:rsid w:val="003A3FBC"/>
    <w:rsid w:val="003B1FD8"/>
    <w:rsid w:val="003C5B8E"/>
    <w:rsid w:val="003C6799"/>
    <w:rsid w:val="003D2FF7"/>
    <w:rsid w:val="003D7F70"/>
    <w:rsid w:val="003E3ED9"/>
    <w:rsid w:val="00404768"/>
    <w:rsid w:val="00435659"/>
    <w:rsid w:val="004367B5"/>
    <w:rsid w:val="00443626"/>
    <w:rsid w:val="00445BA7"/>
    <w:rsid w:val="0046535F"/>
    <w:rsid w:val="00482D50"/>
    <w:rsid w:val="004923F9"/>
    <w:rsid w:val="00494C5F"/>
    <w:rsid w:val="004D57FB"/>
    <w:rsid w:val="004F10B4"/>
    <w:rsid w:val="004F3777"/>
    <w:rsid w:val="004F6082"/>
    <w:rsid w:val="00504DC0"/>
    <w:rsid w:val="005337AB"/>
    <w:rsid w:val="0055162C"/>
    <w:rsid w:val="0056208A"/>
    <w:rsid w:val="00570141"/>
    <w:rsid w:val="0058218E"/>
    <w:rsid w:val="00582F5F"/>
    <w:rsid w:val="00584C5C"/>
    <w:rsid w:val="0059083D"/>
    <w:rsid w:val="00596F60"/>
    <w:rsid w:val="005C2DD3"/>
    <w:rsid w:val="006045AC"/>
    <w:rsid w:val="00611336"/>
    <w:rsid w:val="006208CF"/>
    <w:rsid w:val="00623B88"/>
    <w:rsid w:val="00627963"/>
    <w:rsid w:val="00630940"/>
    <w:rsid w:val="00664311"/>
    <w:rsid w:val="006651D6"/>
    <w:rsid w:val="0069081F"/>
    <w:rsid w:val="006A388C"/>
    <w:rsid w:val="006A42EE"/>
    <w:rsid w:val="006C59D6"/>
    <w:rsid w:val="006E727B"/>
    <w:rsid w:val="00701B84"/>
    <w:rsid w:val="0070358E"/>
    <w:rsid w:val="0071255A"/>
    <w:rsid w:val="007229AD"/>
    <w:rsid w:val="00722F61"/>
    <w:rsid w:val="00723E81"/>
    <w:rsid w:val="0073173D"/>
    <w:rsid w:val="00746453"/>
    <w:rsid w:val="007519A2"/>
    <w:rsid w:val="0075223E"/>
    <w:rsid w:val="007544E7"/>
    <w:rsid w:val="0075590F"/>
    <w:rsid w:val="00766BC3"/>
    <w:rsid w:val="00783834"/>
    <w:rsid w:val="00784E93"/>
    <w:rsid w:val="007908F0"/>
    <w:rsid w:val="007B7F46"/>
    <w:rsid w:val="007C32AC"/>
    <w:rsid w:val="007C7005"/>
    <w:rsid w:val="00805E27"/>
    <w:rsid w:val="0080681B"/>
    <w:rsid w:val="008069A9"/>
    <w:rsid w:val="008771D1"/>
    <w:rsid w:val="00880643"/>
    <w:rsid w:val="008A0244"/>
    <w:rsid w:val="008A0F46"/>
    <w:rsid w:val="008A2092"/>
    <w:rsid w:val="008E020D"/>
    <w:rsid w:val="008E06F9"/>
    <w:rsid w:val="008F6A3B"/>
    <w:rsid w:val="008F79BF"/>
    <w:rsid w:val="00900AF0"/>
    <w:rsid w:val="00905D3E"/>
    <w:rsid w:val="009065EB"/>
    <w:rsid w:val="00914DD0"/>
    <w:rsid w:val="00935D73"/>
    <w:rsid w:val="009402CE"/>
    <w:rsid w:val="0094376D"/>
    <w:rsid w:val="00943CB8"/>
    <w:rsid w:val="009533D5"/>
    <w:rsid w:val="00957458"/>
    <w:rsid w:val="00985709"/>
    <w:rsid w:val="00986551"/>
    <w:rsid w:val="009A5BEA"/>
    <w:rsid w:val="009B6181"/>
    <w:rsid w:val="009F2FC2"/>
    <w:rsid w:val="00A025F3"/>
    <w:rsid w:val="00A05FD0"/>
    <w:rsid w:val="00A06736"/>
    <w:rsid w:val="00A151B8"/>
    <w:rsid w:val="00A2309D"/>
    <w:rsid w:val="00A3027A"/>
    <w:rsid w:val="00A32745"/>
    <w:rsid w:val="00A33208"/>
    <w:rsid w:val="00A36410"/>
    <w:rsid w:val="00A3758F"/>
    <w:rsid w:val="00A4202B"/>
    <w:rsid w:val="00A512F1"/>
    <w:rsid w:val="00A5413F"/>
    <w:rsid w:val="00A654D3"/>
    <w:rsid w:val="00A77218"/>
    <w:rsid w:val="00A805D5"/>
    <w:rsid w:val="00AB4604"/>
    <w:rsid w:val="00AD3703"/>
    <w:rsid w:val="00AE32C5"/>
    <w:rsid w:val="00AE77B0"/>
    <w:rsid w:val="00AF34FA"/>
    <w:rsid w:val="00AF683A"/>
    <w:rsid w:val="00B42A7A"/>
    <w:rsid w:val="00B4396B"/>
    <w:rsid w:val="00B649B7"/>
    <w:rsid w:val="00B80E57"/>
    <w:rsid w:val="00B95409"/>
    <w:rsid w:val="00B9586F"/>
    <w:rsid w:val="00BA21B1"/>
    <w:rsid w:val="00BA6BFB"/>
    <w:rsid w:val="00BB42D6"/>
    <w:rsid w:val="00BC06C0"/>
    <w:rsid w:val="00BD1CEF"/>
    <w:rsid w:val="00BD4F22"/>
    <w:rsid w:val="00BE02F6"/>
    <w:rsid w:val="00BF0D5D"/>
    <w:rsid w:val="00C00548"/>
    <w:rsid w:val="00C10BA8"/>
    <w:rsid w:val="00C1213A"/>
    <w:rsid w:val="00C20D77"/>
    <w:rsid w:val="00C35889"/>
    <w:rsid w:val="00C367DF"/>
    <w:rsid w:val="00C45EA7"/>
    <w:rsid w:val="00C549D3"/>
    <w:rsid w:val="00C86024"/>
    <w:rsid w:val="00CA5E80"/>
    <w:rsid w:val="00CB134D"/>
    <w:rsid w:val="00CB51E6"/>
    <w:rsid w:val="00CC3C0E"/>
    <w:rsid w:val="00CD215C"/>
    <w:rsid w:val="00CD75BC"/>
    <w:rsid w:val="00CE3DC4"/>
    <w:rsid w:val="00CE4BFD"/>
    <w:rsid w:val="00CF7DAA"/>
    <w:rsid w:val="00D00BF7"/>
    <w:rsid w:val="00D030C1"/>
    <w:rsid w:val="00D1049D"/>
    <w:rsid w:val="00D17977"/>
    <w:rsid w:val="00D21736"/>
    <w:rsid w:val="00D25A14"/>
    <w:rsid w:val="00D321FA"/>
    <w:rsid w:val="00D410AC"/>
    <w:rsid w:val="00D45058"/>
    <w:rsid w:val="00D74533"/>
    <w:rsid w:val="00D74D82"/>
    <w:rsid w:val="00D75D78"/>
    <w:rsid w:val="00D8533B"/>
    <w:rsid w:val="00D91E4E"/>
    <w:rsid w:val="00DA79B2"/>
    <w:rsid w:val="00DB2817"/>
    <w:rsid w:val="00DB430F"/>
    <w:rsid w:val="00DB7686"/>
    <w:rsid w:val="00DB76F8"/>
    <w:rsid w:val="00DD1526"/>
    <w:rsid w:val="00DD4BD7"/>
    <w:rsid w:val="00DE0EBD"/>
    <w:rsid w:val="00DE30D3"/>
    <w:rsid w:val="00DF43F8"/>
    <w:rsid w:val="00E00DAE"/>
    <w:rsid w:val="00E01197"/>
    <w:rsid w:val="00E1393A"/>
    <w:rsid w:val="00E15D6B"/>
    <w:rsid w:val="00E21D36"/>
    <w:rsid w:val="00E27BE8"/>
    <w:rsid w:val="00E307FE"/>
    <w:rsid w:val="00E37EA7"/>
    <w:rsid w:val="00E447D5"/>
    <w:rsid w:val="00E479CE"/>
    <w:rsid w:val="00E52553"/>
    <w:rsid w:val="00E87565"/>
    <w:rsid w:val="00E92620"/>
    <w:rsid w:val="00E9627A"/>
    <w:rsid w:val="00EA2035"/>
    <w:rsid w:val="00EA7D4D"/>
    <w:rsid w:val="00EB14A5"/>
    <w:rsid w:val="00EB517C"/>
    <w:rsid w:val="00EB54FA"/>
    <w:rsid w:val="00EB5A5F"/>
    <w:rsid w:val="00EB73DE"/>
    <w:rsid w:val="00ED145D"/>
    <w:rsid w:val="00ED5805"/>
    <w:rsid w:val="00EE29ED"/>
    <w:rsid w:val="00EF0230"/>
    <w:rsid w:val="00EF0714"/>
    <w:rsid w:val="00EF2146"/>
    <w:rsid w:val="00EF4367"/>
    <w:rsid w:val="00F04208"/>
    <w:rsid w:val="00F0443F"/>
    <w:rsid w:val="00F1028F"/>
    <w:rsid w:val="00F330B6"/>
    <w:rsid w:val="00F37439"/>
    <w:rsid w:val="00F37645"/>
    <w:rsid w:val="00F40877"/>
    <w:rsid w:val="00F47138"/>
    <w:rsid w:val="00F53431"/>
    <w:rsid w:val="00F54D86"/>
    <w:rsid w:val="00F5552B"/>
    <w:rsid w:val="00F63C14"/>
    <w:rsid w:val="00F7594C"/>
    <w:rsid w:val="00F84828"/>
    <w:rsid w:val="00F85E09"/>
    <w:rsid w:val="00F91C5C"/>
    <w:rsid w:val="00F948D0"/>
    <w:rsid w:val="00FA2794"/>
    <w:rsid w:val="00FA3219"/>
    <w:rsid w:val="00FA403F"/>
    <w:rsid w:val="00FB31F4"/>
    <w:rsid w:val="00FC2CC8"/>
    <w:rsid w:val="00FC42B2"/>
    <w:rsid w:val="00FD472D"/>
    <w:rsid w:val="00FE6591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301B2264-B1DF-4C98-9C6F-66D54319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4.xml><?xml version="1.0" encoding="utf-8"?>
<ds:datastoreItem xmlns:ds="http://schemas.openxmlformats.org/officeDocument/2006/customXml" ds:itemID="{CA6A6CB0-F69E-49BE-A741-1D228B4DC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3</cp:revision>
  <dcterms:created xsi:type="dcterms:W3CDTF">2025-05-23T01:42:00Z</dcterms:created>
  <dcterms:modified xsi:type="dcterms:W3CDTF">2025-05-23T06:24:00Z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</Properties>
</file>