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BA66" w14:textId="77777777" w:rsidR="00BD4101" w:rsidRDefault="00BD4101" w:rsidP="00BD4101">
      <w:pPr>
        <w:jc w:val="center"/>
      </w:pPr>
      <w:r>
        <w:rPr>
          <w:b/>
          <w:sz w:val="36"/>
        </w:rPr>
        <w:t>Offshore Competency Centre Creation Framework</w:t>
      </w:r>
    </w:p>
    <w:p w14:paraId="422DC0CF" w14:textId="77777777" w:rsidR="00BD4101" w:rsidRDefault="00BD4101" w:rsidP="00BD4101">
      <w:pPr>
        <w:jc w:val="center"/>
      </w:pPr>
      <w:r>
        <w:rPr>
          <w:i/>
        </w:rPr>
        <w:t>Phased guidance for planning, transferring, stabilising, and improving offshore finance capability centres</w:t>
      </w:r>
    </w:p>
    <w:p w14:paraId="704A924C" w14:textId="5D5E63A3" w:rsidR="00BD4101" w:rsidRDefault="00BD4101" w:rsidP="00BD4101">
      <w:r>
        <w:t xml:space="preserve">This </w:t>
      </w:r>
      <w:r w:rsidR="00800D65">
        <w:t>document</w:t>
      </w:r>
      <w:r>
        <w:t xml:space="preserve"> is designed to help teams plan the move, select the right scope, prepare the operating model, execute knowledge transfer, and build a sustainable future-state service.</w:t>
      </w:r>
      <w:r w:rsidR="00800D65">
        <w:t xml:space="preserve"> Input to this document was </w:t>
      </w:r>
      <w:r w:rsidR="00C51102">
        <w:t xml:space="preserve">provided </w:t>
      </w:r>
      <w:r w:rsidR="004E64AA">
        <w:t>b</w:t>
      </w:r>
      <w:r w:rsidR="00C51102">
        <w:t xml:space="preserve">y country CFO’s, Finance </w:t>
      </w:r>
      <w:r w:rsidR="001A0C24">
        <w:t xml:space="preserve">Process Owners and team members from the </w:t>
      </w:r>
      <w:r w:rsidR="002679B3">
        <w:t>international</w:t>
      </w:r>
      <w:r w:rsidR="001A0C24">
        <w:t xml:space="preserve"> finance team alongside </w:t>
      </w:r>
      <w:r w:rsidR="004F1554">
        <w:t xml:space="preserve">documented </w:t>
      </w:r>
      <w:r w:rsidR="0058154A">
        <w:t xml:space="preserve">lessons from pilot transfers </w:t>
      </w:r>
      <w:r w:rsidR="004E64AA">
        <w:t>in the</w:t>
      </w:r>
      <w:r w:rsidR="0058154A">
        <w:t xml:space="preserve"> UKI,</w:t>
      </w:r>
      <w:r w:rsidR="00B42D97">
        <w:t xml:space="preserve"> CCC and GCC. </w:t>
      </w:r>
    </w:p>
    <w:p w14:paraId="77DB6A49" w14:textId="77777777" w:rsidR="00BD4101" w:rsidRDefault="00BD4101" w:rsidP="00BD4101">
      <w:pPr>
        <w:pStyle w:val="Heading1"/>
      </w:pPr>
      <w:r>
        <w:t>1. Core design principles</w:t>
      </w:r>
    </w:p>
    <w:p w14:paraId="37897C50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Start with the end state: define what the centre will do, what remains onshore, and how the service will be owned.</w:t>
      </w:r>
    </w:p>
    <w:p w14:paraId="3072E467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Move the right work first: prioritise transactional, repeatable, well-defined processes.</w:t>
      </w:r>
    </w:p>
    <w:p w14:paraId="42B10701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Standardise before you migrate: reduce local variation and define exception paths.</w:t>
      </w:r>
    </w:p>
    <w:p w14:paraId="1C668510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Stabilise before you optimise: do not redesign heavily during the initial transfer period.</w:t>
      </w:r>
    </w:p>
    <w:p w14:paraId="240B662B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Measure both quality and delivery: performance discussions should be fact-based.</w:t>
      </w:r>
    </w:p>
    <w:p w14:paraId="645B51AA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Treat offshore as one team: relationship quality materially affects outcomes.</w:t>
      </w:r>
    </w:p>
    <w:p w14:paraId="1E58E2FE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Make ownership explicit: unclear RACI and handoffs are a major failure point.</w:t>
      </w:r>
    </w:p>
    <w:p w14:paraId="5308E3E4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Plan for people impact beyond the directly affected team: adjacent functions will feel the change too.</w:t>
      </w:r>
    </w:p>
    <w:p w14:paraId="171B95D2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Design for sustainability: talent, development, and leadership matter as much as cost.</w:t>
      </w:r>
    </w:p>
    <w:p w14:paraId="184F53A9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Build for improvement: use progressive SLAs, scorecards, and feedback loops after go-live.</w:t>
      </w:r>
    </w:p>
    <w:p w14:paraId="364940FA" w14:textId="77777777" w:rsidR="00BD4101" w:rsidRDefault="00BD4101" w:rsidP="00BD4101">
      <w:pPr>
        <w:pStyle w:val="Heading1"/>
      </w:pPr>
      <w:r>
        <w:t>2. Stage 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BD4101" w14:paraId="111E01DA" w14:textId="77777777" w:rsidTr="006C11F2">
        <w:trPr>
          <w:jc w:val="center"/>
        </w:trPr>
        <w:tc>
          <w:tcPr>
            <w:tcW w:w="3360" w:type="dxa"/>
          </w:tcPr>
          <w:p w14:paraId="334E94B5" w14:textId="77777777" w:rsidR="00BD4101" w:rsidRDefault="00BD4101" w:rsidP="006C11F2">
            <w:r>
              <w:t>Stage</w:t>
            </w:r>
          </w:p>
        </w:tc>
        <w:tc>
          <w:tcPr>
            <w:tcW w:w="3360" w:type="dxa"/>
          </w:tcPr>
          <w:p w14:paraId="68ABAE15" w14:textId="77777777" w:rsidR="00BD4101" w:rsidRDefault="00BD4101" w:rsidP="006C11F2">
            <w:r>
              <w:t>Focus</w:t>
            </w:r>
          </w:p>
        </w:tc>
        <w:tc>
          <w:tcPr>
            <w:tcW w:w="3360" w:type="dxa"/>
          </w:tcPr>
          <w:p w14:paraId="1D423CAA" w14:textId="77777777" w:rsidR="00BD4101" w:rsidRDefault="00BD4101" w:rsidP="006C11F2">
            <w:r>
              <w:t>Gate question</w:t>
            </w:r>
          </w:p>
        </w:tc>
      </w:tr>
      <w:tr w:rsidR="00BD4101" w14:paraId="08D4AC1F" w14:textId="77777777" w:rsidTr="006C11F2">
        <w:trPr>
          <w:jc w:val="center"/>
        </w:trPr>
        <w:tc>
          <w:tcPr>
            <w:tcW w:w="3360" w:type="dxa"/>
          </w:tcPr>
          <w:p w14:paraId="4739D599" w14:textId="77777777" w:rsidR="00BD4101" w:rsidRDefault="00BD4101" w:rsidP="006C11F2">
            <w:r>
              <w:t>Stage 1</w:t>
            </w:r>
          </w:p>
        </w:tc>
        <w:tc>
          <w:tcPr>
            <w:tcW w:w="3360" w:type="dxa"/>
          </w:tcPr>
          <w:p w14:paraId="10C41A6A" w14:textId="77777777" w:rsidR="00BD4101" w:rsidRDefault="00BD4101" w:rsidP="006C11F2">
            <w:r>
              <w:t>Strategy, Case for Change and Sponsorship</w:t>
            </w:r>
          </w:p>
        </w:tc>
        <w:tc>
          <w:tcPr>
            <w:tcW w:w="3360" w:type="dxa"/>
          </w:tcPr>
          <w:p w14:paraId="4E360117" w14:textId="77777777" w:rsidR="00BD4101" w:rsidRDefault="00BD4101" w:rsidP="006C11F2">
            <w:r>
              <w:t>Do we have an approved case for change, funding, sponsors, and a named accountable owner?</w:t>
            </w:r>
          </w:p>
        </w:tc>
      </w:tr>
      <w:tr w:rsidR="00BD4101" w14:paraId="57C65DE8" w14:textId="77777777" w:rsidTr="006C11F2">
        <w:trPr>
          <w:jc w:val="center"/>
        </w:trPr>
        <w:tc>
          <w:tcPr>
            <w:tcW w:w="3360" w:type="dxa"/>
          </w:tcPr>
          <w:p w14:paraId="61DBCFCA" w14:textId="77777777" w:rsidR="00BD4101" w:rsidRDefault="00BD4101" w:rsidP="006C11F2">
            <w:r>
              <w:t>Stage 2</w:t>
            </w:r>
          </w:p>
        </w:tc>
        <w:tc>
          <w:tcPr>
            <w:tcW w:w="3360" w:type="dxa"/>
          </w:tcPr>
          <w:p w14:paraId="48BF70DE" w14:textId="77777777" w:rsidR="00BD4101" w:rsidRDefault="00BD4101" w:rsidP="006C11F2">
            <w:r>
              <w:t>Process Selection and Wave Planning</w:t>
            </w:r>
          </w:p>
        </w:tc>
        <w:tc>
          <w:tcPr>
            <w:tcW w:w="3360" w:type="dxa"/>
          </w:tcPr>
          <w:p w14:paraId="7359D17B" w14:textId="77777777" w:rsidR="00BD4101" w:rsidRDefault="00BD4101" w:rsidP="006C11F2">
            <w:r>
              <w:t>Have we selected the right first-wave processes and documented what should be retained, deferred, or hybridised?</w:t>
            </w:r>
          </w:p>
        </w:tc>
      </w:tr>
      <w:tr w:rsidR="00BD4101" w14:paraId="07B2BF23" w14:textId="77777777" w:rsidTr="006C11F2">
        <w:trPr>
          <w:jc w:val="center"/>
        </w:trPr>
        <w:tc>
          <w:tcPr>
            <w:tcW w:w="3360" w:type="dxa"/>
          </w:tcPr>
          <w:p w14:paraId="700D81CB" w14:textId="77777777" w:rsidR="00BD4101" w:rsidRDefault="00BD4101" w:rsidP="006C11F2">
            <w:r>
              <w:t>Stage 3</w:t>
            </w:r>
          </w:p>
        </w:tc>
        <w:tc>
          <w:tcPr>
            <w:tcW w:w="3360" w:type="dxa"/>
          </w:tcPr>
          <w:p w14:paraId="513933E5" w14:textId="77777777" w:rsidR="00BD4101" w:rsidRDefault="00BD4101" w:rsidP="006C11F2">
            <w:r>
              <w:t>Current-State Assessment and Baseline</w:t>
            </w:r>
          </w:p>
        </w:tc>
        <w:tc>
          <w:tcPr>
            <w:tcW w:w="3360" w:type="dxa"/>
          </w:tcPr>
          <w:p w14:paraId="1A88A871" w14:textId="77777777" w:rsidR="00BD4101" w:rsidRDefault="00BD4101" w:rsidP="006C11F2">
            <w:r>
              <w:t>Do we understand the as-is process, baseline performance, dependencies, and key risks well enough to transfer safely?</w:t>
            </w:r>
          </w:p>
        </w:tc>
      </w:tr>
      <w:tr w:rsidR="00BD4101" w14:paraId="26F53263" w14:textId="77777777" w:rsidTr="006C11F2">
        <w:trPr>
          <w:jc w:val="center"/>
        </w:trPr>
        <w:tc>
          <w:tcPr>
            <w:tcW w:w="3360" w:type="dxa"/>
          </w:tcPr>
          <w:p w14:paraId="6F5B4B26" w14:textId="77777777" w:rsidR="00BD4101" w:rsidRDefault="00BD4101" w:rsidP="006C11F2">
            <w:r>
              <w:t>Stage 4</w:t>
            </w:r>
          </w:p>
        </w:tc>
        <w:tc>
          <w:tcPr>
            <w:tcW w:w="3360" w:type="dxa"/>
          </w:tcPr>
          <w:p w14:paraId="1C5EDBCE" w14:textId="77777777" w:rsidR="00BD4101" w:rsidRDefault="00BD4101" w:rsidP="006C11F2">
            <w:r>
              <w:t>Target Operating Model and Detailed Design</w:t>
            </w:r>
          </w:p>
        </w:tc>
        <w:tc>
          <w:tcPr>
            <w:tcW w:w="3360" w:type="dxa"/>
          </w:tcPr>
          <w:p w14:paraId="7E232FFF" w14:textId="77777777" w:rsidR="00BD4101" w:rsidRDefault="00BD4101" w:rsidP="006C11F2">
            <w:r>
              <w:t>Is the future operating model designed, agreed, and measurable?</w:t>
            </w:r>
          </w:p>
        </w:tc>
      </w:tr>
      <w:tr w:rsidR="00BD4101" w14:paraId="599C6635" w14:textId="77777777" w:rsidTr="006C11F2">
        <w:trPr>
          <w:jc w:val="center"/>
        </w:trPr>
        <w:tc>
          <w:tcPr>
            <w:tcW w:w="3360" w:type="dxa"/>
          </w:tcPr>
          <w:p w14:paraId="279AD768" w14:textId="77777777" w:rsidR="00BD4101" w:rsidRDefault="00BD4101" w:rsidP="006C11F2">
            <w:r>
              <w:t>Stage 5</w:t>
            </w:r>
          </w:p>
        </w:tc>
        <w:tc>
          <w:tcPr>
            <w:tcW w:w="3360" w:type="dxa"/>
          </w:tcPr>
          <w:p w14:paraId="7A4689A5" w14:textId="77777777" w:rsidR="00BD4101" w:rsidRDefault="00BD4101" w:rsidP="006C11F2">
            <w:r>
              <w:t>Readiness, Enablement and Transition Planning</w:t>
            </w:r>
          </w:p>
        </w:tc>
        <w:tc>
          <w:tcPr>
            <w:tcW w:w="3360" w:type="dxa"/>
          </w:tcPr>
          <w:p w14:paraId="7F1B691C" w14:textId="77777777" w:rsidR="00BD4101" w:rsidRDefault="00BD4101" w:rsidP="006C11F2">
            <w:r>
              <w:t>Are all core enablers ready for training and transition?</w:t>
            </w:r>
          </w:p>
        </w:tc>
      </w:tr>
      <w:tr w:rsidR="00BD4101" w14:paraId="6FD22769" w14:textId="77777777" w:rsidTr="006C11F2">
        <w:trPr>
          <w:jc w:val="center"/>
        </w:trPr>
        <w:tc>
          <w:tcPr>
            <w:tcW w:w="3360" w:type="dxa"/>
          </w:tcPr>
          <w:p w14:paraId="6009F603" w14:textId="77777777" w:rsidR="00BD4101" w:rsidRDefault="00BD4101" w:rsidP="006C11F2">
            <w:r>
              <w:lastRenderedPageBreak/>
              <w:t>Stage 6</w:t>
            </w:r>
          </w:p>
        </w:tc>
        <w:tc>
          <w:tcPr>
            <w:tcW w:w="3360" w:type="dxa"/>
          </w:tcPr>
          <w:p w14:paraId="792FCD78" w14:textId="77777777" w:rsidR="00BD4101" w:rsidRDefault="00BD4101" w:rsidP="006C11F2">
            <w:r>
              <w:t>Training, Knowledge Transfer and Handover</w:t>
            </w:r>
          </w:p>
        </w:tc>
        <w:tc>
          <w:tcPr>
            <w:tcW w:w="3360" w:type="dxa"/>
          </w:tcPr>
          <w:p w14:paraId="39EA6284" w14:textId="77777777" w:rsidR="00BD4101" w:rsidRDefault="00BD4101" w:rsidP="006C11F2">
            <w:r>
              <w:t>Has the offshore team demonstrated proficiency and formally taken ownership?</w:t>
            </w:r>
          </w:p>
        </w:tc>
      </w:tr>
      <w:tr w:rsidR="00BD4101" w14:paraId="3990ABB7" w14:textId="77777777" w:rsidTr="006C11F2">
        <w:trPr>
          <w:jc w:val="center"/>
        </w:trPr>
        <w:tc>
          <w:tcPr>
            <w:tcW w:w="3360" w:type="dxa"/>
          </w:tcPr>
          <w:p w14:paraId="6C3ECF98" w14:textId="77777777" w:rsidR="00BD4101" w:rsidRDefault="00BD4101" w:rsidP="006C11F2">
            <w:r>
              <w:t>Stage 7</w:t>
            </w:r>
          </w:p>
        </w:tc>
        <w:tc>
          <w:tcPr>
            <w:tcW w:w="3360" w:type="dxa"/>
          </w:tcPr>
          <w:p w14:paraId="40AEDC26" w14:textId="77777777" w:rsidR="00BD4101" w:rsidRDefault="00BD4101" w:rsidP="006C11F2">
            <w:r>
              <w:t>Go-Live, Hypercare and Stabilisation</w:t>
            </w:r>
          </w:p>
        </w:tc>
        <w:tc>
          <w:tcPr>
            <w:tcW w:w="3360" w:type="dxa"/>
          </w:tcPr>
          <w:p w14:paraId="0F40873B" w14:textId="77777777" w:rsidR="00BD4101" w:rsidRDefault="00BD4101" w:rsidP="006C11F2">
            <w:r>
              <w:t>Is service stable, controlled, and owned by the new team without excessive dependency on the old one?</w:t>
            </w:r>
          </w:p>
        </w:tc>
      </w:tr>
      <w:tr w:rsidR="00BD4101" w14:paraId="5E24414C" w14:textId="77777777" w:rsidTr="006C11F2">
        <w:trPr>
          <w:jc w:val="center"/>
        </w:trPr>
        <w:tc>
          <w:tcPr>
            <w:tcW w:w="3360" w:type="dxa"/>
          </w:tcPr>
          <w:p w14:paraId="7E1857AE" w14:textId="77777777" w:rsidR="00BD4101" w:rsidRDefault="00BD4101" w:rsidP="006C11F2">
            <w:r>
              <w:t>Stage 8</w:t>
            </w:r>
          </w:p>
        </w:tc>
        <w:tc>
          <w:tcPr>
            <w:tcW w:w="3360" w:type="dxa"/>
          </w:tcPr>
          <w:p w14:paraId="06E8A401" w14:textId="77777777" w:rsidR="00BD4101" w:rsidRDefault="00BD4101" w:rsidP="006C11F2">
            <w:r>
              <w:t>Continuous Improvement and Future-State Maturity</w:t>
            </w:r>
          </w:p>
        </w:tc>
        <w:tc>
          <w:tcPr>
            <w:tcW w:w="3360" w:type="dxa"/>
          </w:tcPr>
          <w:p w14:paraId="25E85C28" w14:textId="77777777" w:rsidR="00BD4101" w:rsidRDefault="00BD4101" w:rsidP="006C11F2">
            <w:r>
              <w:t>Do we have an active improvement engine and a credible path to a more mature, flexible capability model?</w:t>
            </w:r>
          </w:p>
        </w:tc>
      </w:tr>
    </w:tbl>
    <w:p w14:paraId="2FE9E77D" w14:textId="77777777" w:rsidR="00BD4101" w:rsidRDefault="00BD4101" w:rsidP="00BD4101">
      <w:pPr>
        <w:pStyle w:val="Heading1"/>
      </w:pPr>
      <w:r>
        <w:t>3. Detailed framework by stage</w:t>
      </w:r>
    </w:p>
    <w:p w14:paraId="3B6268F2" w14:textId="77777777" w:rsidR="00BD4101" w:rsidRDefault="00BD4101" w:rsidP="00BD4101">
      <w:pPr>
        <w:pStyle w:val="Heading2"/>
      </w:pPr>
      <w:r>
        <w:t>Stage 1: Strategy, Case for Change and Sponsorship</w:t>
      </w:r>
    </w:p>
    <w:p w14:paraId="4960F124" w14:textId="77777777" w:rsidR="00BD4101" w:rsidRDefault="00BD4101" w:rsidP="00BD4101">
      <w:r>
        <w:t>Purpose: Establish why the centre is being created, what success looks like, and who will sponsor and govern the change.</w:t>
      </w:r>
    </w:p>
    <w:p w14:paraId="270FDB21" w14:textId="77777777" w:rsidR="00BD4101" w:rsidRDefault="00BD4101" w:rsidP="00BD4101">
      <w:r>
        <w:t>Gate question: Do we have an approved case for change, funding, sponsors, and a named accountable owner?</w:t>
      </w:r>
    </w:p>
    <w:p w14:paraId="26564DCB" w14:textId="77777777" w:rsidR="00BD4101" w:rsidRDefault="00BD4101" w:rsidP="00BD4101">
      <w:r>
        <w:rPr>
          <w:b/>
        </w:rPr>
        <w:t>Key steps</w:t>
      </w:r>
    </w:p>
    <w:p w14:paraId="57F31F30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 xml:space="preserve">Define the business rationale and target outcomes such as capacity, quality, resilience, </w:t>
      </w:r>
      <w:proofErr w:type="spellStart"/>
      <w:r>
        <w:t>standardisation</w:t>
      </w:r>
      <w:proofErr w:type="spellEnd"/>
      <w:r>
        <w:t>, efficiency, and scalability.</w:t>
      </w:r>
    </w:p>
    <w:p w14:paraId="7A43E5AD" w14:textId="3ACE8978" w:rsidR="000943F7" w:rsidRDefault="000943F7" w:rsidP="00BD4101">
      <w:pPr>
        <w:pStyle w:val="ListBullet"/>
        <w:tabs>
          <w:tab w:val="num" w:pos="360"/>
        </w:tabs>
        <w:ind w:left="360" w:hanging="360"/>
      </w:pPr>
      <w:r>
        <w:t xml:space="preserve">Understand the high level resource requirement to support </w:t>
      </w:r>
      <w:r w:rsidR="00F76756">
        <w:t>the business case (number of heads moving)</w:t>
      </w:r>
    </w:p>
    <w:p w14:paraId="2500685B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Set the future-state vision for what the offshore centre will own, what will remain onshore, and how both teams will work together.</w:t>
      </w:r>
    </w:p>
    <w:p w14:paraId="1BB01E76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Agree the scope boundaries at a high level and confirm whether the move is finance-only or part of a wider shared-services model.</w:t>
      </w:r>
    </w:p>
    <w:p w14:paraId="4E8D5F92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Build the business case, budget, and implementation funding.</w:t>
      </w:r>
    </w:p>
    <w:p w14:paraId="2098418D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Appoint executive sponsors, an onshore accountable owner, workstream leads, and decision forums.</w:t>
      </w:r>
    </w:p>
    <w:p w14:paraId="0C178C14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Set clear success measures, milestones, and tolerances for risk, service disruption, and control impact.</w:t>
      </w:r>
    </w:p>
    <w:p w14:paraId="7E65842C" w14:textId="77777777" w:rsidR="00BD4101" w:rsidRDefault="00BD4101" w:rsidP="00BD4101">
      <w:r>
        <w:rPr>
          <w:b/>
        </w:rPr>
        <w:t>Elements to consider at this stage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BD4101" w14:paraId="63422897" w14:textId="77777777" w:rsidTr="006C11F2">
        <w:trPr>
          <w:jc w:val="center"/>
        </w:trPr>
        <w:tc>
          <w:tcPr>
            <w:tcW w:w="5040" w:type="dxa"/>
          </w:tcPr>
          <w:p w14:paraId="178C92EF" w14:textId="77777777" w:rsidR="00BD4101" w:rsidRDefault="00BD4101" w:rsidP="006C11F2">
            <w:r>
              <w:t>Lens</w:t>
            </w:r>
          </w:p>
        </w:tc>
        <w:tc>
          <w:tcPr>
            <w:tcW w:w="5040" w:type="dxa"/>
          </w:tcPr>
          <w:p w14:paraId="06ED938C" w14:textId="77777777" w:rsidR="00BD4101" w:rsidRDefault="00BD4101" w:rsidP="006C11F2">
            <w:r>
              <w:t>Key considerations</w:t>
            </w:r>
          </w:p>
        </w:tc>
      </w:tr>
      <w:tr w:rsidR="00BD4101" w14:paraId="54A15A8A" w14:textId="77777777" w:rsidTr="006C11F2">
        <w:trPr>
          <w:jc w:val="center"/>
        </w:trPr>
        <w:tc>
          <w:tcPr>
            <w:tcW w:w="5040" w:type="dxa"/>
          </w:tcPr>
          <w:p w14:paraId="7C1C14AD" w14:textId="77777777" w:rsidR="00BD4101" w:rsidRDefault="00BD4101" w:rsidP="006C11F2">
            <w:r>
              <w:t>Process</w:t>
            </w:r>
          </w:p>
        </w:tc>
        <w:tc>
          <w:tcPr>
            <w:tcW w:w="5040" w:type="dxa"/>
          </w:tcPr>
          <w:p w14:paraId="5C52194C" w14:textId="77777777" w:rsidR="00BD4101" w:rsidRDefault="00BD4101" w:rsidP="006C11F2">
            <w:r>
              <w:t>- Define the outcomes the centre is expected to deliver.</w:t>
            </w:r>
            <w:r>
              <w:br/>
              <w:t>- Identify candidate processes at a high level and group them into likely waves.</w:t>
            </w:r>
            <w:r>
              <w:br/>
              <w:t>- Clarify whether the objective is lift-and-shift, improve-and-shift, or a blend.</w:t>
            </w:r>
          </w:p>
        </w:tc>
      </w:tr>
      <w:tr w:rsidR="00BD4101" w14:paraId="42B885BF" w14:textId="77777777" w:rsidTr="006C11F2">
        <w:trPr>
          <w:jc w:val="center"/>
        </w:trPr>
        <w:tc>
          <w:tcPr>
            <w:tcW w:w="5040" w:type="dxa"/>
          </w:tcPr>
          <w:p w14:paraId="4D1B497B" w14:textId="77777777" w:rsidR="00BD4101" w:rsidRDefault="00BD4101" w:rsidP="006C11F2">
            <w:r>
              <w:t>People &amp; Organisation</w:t>
            </w:r>
          </w:p>
        </w:tc>
        <w:tc>
          <w:tcPr>
            <w:tcW w:w="5040" w:type="dxa"/>
          </w:tcPr>
          <w:p w14:paraId="2ADEDC5C" w14:textId="77777777" w:rsidR="00BD4101" w:rsidRDefault="00BD4101" w:rsidP="006C11F2">
            <w:r>
              <w:t>- Identify directly and indirectly impacted teams, not only the people whose roles may move.</w:t>
            </w:r>
            <w:r>
              <w:br/>
              <w:t>- Clarify who will lead the retained onshore team and how roles may change.</w:t>
            </w:r>
            <w:r>
              <w:br/>
            </w:r>
            <w:r>
              <w:lastRenderedPageBreak/>
              <w:t>- Plan for reskilling and future roles where possible rather than treating the programme only as a cost action.</w:t>
            </w:r>
          </w:p>
        </w:tc>
      </w:tr>
      <w:tr w:rsidR="00BD4101" w14:paraId="69119628" w14:textId="77777777" w:rsidTr="006C11F2">
        <w:trPr>
          <w:jc w:val="center"/>
        </w:trPr>
        <w:tc>
          <w:tcPr>
            <w:tcW w:w="5040" w:type="dxa"/>
          </w:tcPr>
          <w:p w14:paraId="3BEFBF70" w14:textId="77777777" w:rsidR="00BD4101" w:rsidRDefault="00BD4101" w:rsidP="006C11F2">
            <w:r>
              <w:lastRenderedPageBreak/>
              <w:t>Technology &amp; Data</w:t>
            </w:r>
          </w:p>
        </w:tc>
        <w:tc>
          <w:tcPr>
            <w:tcW w:w="5040" w:type="dxa"/>
          </w:tcPr>
          <w:p w14:paraId="778FF75D" w14:textId="77777777" w:rsidR="00BD4101" w:rsidRDefault="00BD4101" w:rsidP="006C11F2">
            <w:r>
              <w:t>- Complete an early view of system feasibility, access constraints, and major technology dependencies.</w:t>
            </w:r>
            <w:r>
              <w:br/>
              <w:t>- Check whether ERP, billing, ticketing, reporting, and collaboration tools can support remote execution.</w:t>
            </w:r>
          </w:p>
        </w:tc>
      </w:tr>
      <w:tr w:rsidR="00BD4101" w14:paraId="55098C10" w14:textId="77777777" w:rsidTr="006C11F2">
        <w:trPr>
          <w:jc w:val="center"/>
        </w:trPr>
        <w:tc>
          <w:tcPr>
            <w:tcW w:w="5040" w:type="dxa"/>
          </w:tcPr>
          <w:p w14:paraId="62BA619C" w14:textId="77777777" w:rsidR="00BD4101" w:rsidRDefault="00BD4101" w:rsidP="006C11F2">
            <w:r>
              <w:t>Risk, Control &amp; Compliance</w:t>
            </w:r>
          </w:p>
        </w:tc>
        <w:tc>
          <w:tcPr>
            <w:tcW w:w="5040" w:type="dxa"/>
          </w:tcPr>
          <w:p w14:paraId="233F78C9" w14:textId="77777777" w:rsidR="00BD4101" w:rsidRDefault="00BD4101" w:rsidP="006C11F2">
            <w:r>
              <w:t>- Assess labour law, redundancy, SOX/control, audit, data handling, and local language constraints early.</w:t>
            </w:r>
            <w:r>
              <w:br/>
              <w:t>- Identify any activities that are too sensitive, judgement-based, or locally embedded for early migration.</w:t>
            </w:r>
          </w:p>
        </w:tc>
      </w:tr>
      <w:tr w:rsidR="00BD4101" w14:paraId="5AC8E2EB" w14:textId="77777777" w:rsidTr="006C11F2">
        <w:trPr>
          <w:jc w:val="center"/>
        </w:trPr>
        <w:tc>
          <w:tcPr>
            <w:tcW w:w="5040" w:type="dxa"/>
          </w:tcPr>
          <w:p w14:paraId="6A4F21DE" w14:textId="77777777" w:rsidR="00BD4101" w:rsidRDefault="00BD4101" w:rsidP="006C11F2">
            <w:r>
              <w:t>Governance</w:t>
            </w:r>
          </w:p>
        </w:tc>
        <w:tc>
          <w:tcPr>
            <w:tcW w:w="5040" w:type="dxa"/>
          </w:tcPr>
          <w:p w14:paraId="78D33C9A" w14:textId="77777777" w:rsidR="00BD4101" w:rsidRDefault="00BD4101" w:rsidP="006C11F2">
            <w:r>
              <w:t>- Establish steering committee, programme governance, escalation paths, and decision rights.</w:t>
            </w:r>
            <w:r>
              <w:br/>
              <w:t>- Define a named onshore owner for relationship management and end-to-end accountability.</w:t>
            </w:r>
          </w:p>
        </w:tc>
      </w:tr>
    </w:tbl>
    <w:p w14:paraId="67B63EB0" w14:textId="77777777" w:rsidR="00BD4101" w:rsidRDefault="00BD4101" w:rsidP="00BD4101">
      <w:r>
        <w:rPr>
          <w:b/>
        </w:rPr>
        <w:t>Key deliverables</w:t>
      </w:r>
    </w:p>
    <w:p w14:paraId="558FE6AA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Approved business case and budget</w:t>
      </w:r>
    </w:p>
    <w:p w14:paraId="0C90E3D9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Future-state vision statement</w:t>
      </w:r>
    </w:p>
    <w:p w14:paraId="2D81B860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Initial scope and wave hypothesis</w:t>
      </w:r>
    </w:p>
    <w:p w14:paraId="648B0BB9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Programme governance and sponsor structure</w:t>
      </w:r>
    </w:p>
    <w:p w14:paraId="454D91AC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Headline success measures</w:t>
      </w:r>
    </w:p>
    <w:p w14:paraId="4BDA48AD" w14:textId="77777777" w:rsidR="00BD4101" w:rsidRDefault="00BD4101" w:rsidP="00BD4101">
      <w:r>
        <w:rPr>
          <w:b/>
        </w:rPr>
        <w:t>Exit criteria</w:t>
      </w:r>
    </w:p>
    <w:p w14:paraId="102302D8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Executive sponsorship is confirmed.</w:t>
      </w:r>
    </w:p>
    <w:p w14:paraId="2A30E4D3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The case for change, target outcomes, and funding are approved.</w:t>
      </w:r>
    </w:p>
    <w:p w14:paraId="30C729A7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There is a named owner for the retained service and the transition programme.</w:t>
      </w:r>
    </w:p>
    <w:p w14:paraId="6395AB94" w14:textId="77777777" w:rsidR="00BD4101" w:rsidRDefault="00BD4101" w:rsidP="00BD4101">
      <w:r>
        <w:rPr>
          <w:b/>
        </w:rPr>
        <w:t>Common pitfalls</w:t>
      </w:r>
    </w:p>
    <w:p w14:paraId="7FE44AA4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Starting without a business case or budget approval.</w:t>
      </w:r>
    </w:p>
    <w:p w14:paraId="74107BC6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Treating the move purely as a headcount exercise.</w:t>
      </w:r>
    </w:p>
    <w:p w14:paraId="3769410F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Failing to define who owns the service end-to-end.</w:t>
      </w:r>
    </w:p>
    <w:p w14:paraId="5BF1A61A" w14:textId="77777777" w:rsidR="00BD4101" w:rsidRDefault="00BD4101" w:rsidP="00BD4101">
      <w:pPr>
        <w:pStyle w:val="Heading2"/>
      </w:pPr>
      <w:r>
        <w:t>Stage 2: Process Selection and Wave Planning</w:t>
      </w:r>
    </w:p>
    <w:p w14:paraId="607E227D" w14:textId="77777777" w:rsidR="00BD4101" w:rsidRDefault="00BD4101" w:rsidP="00BD4101">
      <w:r>
        <w:t>Purpose: Choose the right work to move first and sequence migration in a way that protects service, controls, and stakeholder confidence.</w:t>
      </w:r>
    </w:p>
    <w:p w14:paraId="61FDF697" w14:textId="77777777" w:rsidR="00BD4101" w:rsidRDefault="00BD4101" w:rsidP="00BD4101">
      <w:r>
        <w:t>Gate question: Have we selected the right first-wave processes and documented what should be retained, deferred, or hybridised?</w:t>
      </w:r>
    </w:p>
    <w:p w14:paraId="66E9EF3F" w14:textId="77777777" w:rsidR="00BD4101" w:rsidRDefault="00BD4101" w:rsidP="00BD4101">
      <w:r>
        <w:rPr>
          <w:b/>
        </w:rPr>
        <w:t>Key steps</w:t>
      </w:r>
    </w:p>
    <w:p w14:paraId="378C2F69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Assess each process against suitability criteria such as volume, repeatability, complexity, criticality, judgement, control sensitivity, and maturity.</w:t>
      </w:r>
    </w:p>
    <w:p w14:paraId="18039BB9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Prioritise standard, transactional, repeatable work for the first wave.</w:t>
      </w:r>
    </w:p>
    <w:p w14:paraId="5D79D41C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lastRenderedPageBreak/>
        <w:t>Avoid or defer customer-facing, judgement-heavy, control-sensitive, or highly local activities until the model is proven.</w:t>
      </w:r>
    </w:p>
    <w:p w14:paraId="25CB1016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Confirm upstream and downstream dependencies and how adjacent teams will be affected.</w:t>
      </w:r>
    </w:p>
    <w:p w14:paraId="7A34F4A1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Create a phased migration roadmap rather than attempting a full transfer at once.</w:t>
      </w:r>
    </w:p>
    <w:p w14:paraId="5C99C01E" w14:textId="77777777" w:rsidR="00BD4101" w:rsidRDefault="00BD4101" w:rsidP="00BD4101">
      <w:r>
        <w:rPr>
          <w:b/>
        </w:rPr>
        <w:t>Elements to consider at this stage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BD4101" w14:paraId="44191278" w14:textId="77777777" w:rsidTr="006C11F2">
        <w:trPr>
          <w:jc w:val="center"/>
        </w:trPr>
        <w:tc>
          <w:tcPr>
            <w:tcW w:w="5040" w:type="dxa"/>
          </w:tcPr>
          <w:p w14:paraId="116C3404" w14:textId="77777777" w:rsidR="00BD4101" w:rsidRDefault="00BD4101" w:rsidP="006C11F2">
            <w:r>
              <w:t>Lens</w:t>
            </w:r>
          </w:p>
        </w:tc>
        <w:tc>
          <w:tcPr>
            <w:tcW w:w="5040" w:type="dxa"/>
          </w:tcPr>
          <w:p w14:paraId="7F142D41" w14:textId="77777777" w:rsidR="00BD4101" w:rsidRDefault="00BD4101" w:rsidP="006C11F2">
            <w:r>
              <w:t>Key considerations</w:t>
            </w:r>
          </w:p>
        </w:tc>
      </w:tr>
      <w:tr w:rsidR="00BD4101" w14:paraId="0DBD33D1" w14:textId="77777777" w:rsidTr="006C11F2">
        <w:trPr>
          <w:jc w:val="center"/>
        </w:trPr>
        <w:tc>
          <w:tcPr>
            <w:tcW w:w="5040" w:type="dxa"/>
          </w:tcPr>
          <w:p w14:paraId="10E6692D" w14:textId="77777777" w:rsidR="00BD4101" w:rsidRDefault="00BD4101" w:rsidP="006C11F2">
            <w:r>
              <w:t>Process</w:t>
            </w:r>
          </w:p>
        </w:tc>
        <w:tc>
          <w:tcPr>
            <w:tcW w:w="5040" w:type="dxa"/>
          </w:tcPr>
          <w:p w14:paraId="725DA62E" w14:textId="77777777" w:rsidR="00BD4101" w:rsidRDefault="00BD4101" w:rsidP="006C11F2">
            <w:r>
              <w:t>- Score each process for volume, repeatability, complexity, maturity, automation opportunity, and exception level.</w:t>
            </w:r>
            <w:r>
              <w:br/>
              <w:t>- Confirm defined inputs, outputs, and clear process steps; if work relies on interpretation, treat it as higher risk.</w:t>
            </w:r>
            <w:r>
              <w:br/>
              <w:t>- Use onshore process leads in selection decisions.</w:t>
            </w:r>
          </w:p>
        </w:tc>
      </w:tr>
      <w:tr w:rsidR="00BD4101" w14:paraId="6F5E367E" w14:textId="77777777" w:rsidTr="006C11F2">
        <w:trPr>
          <w:jc w:val="center"/>
        </w:trPr>
        <w:tc>
          <w:tcPr>
            <w:tcW w:w="5040" w:type="dxa"/>
          </w:tcPr>
          <w:p w14:paraId="2E798B34" w14:textId="77777777" w:rsidR="00BD4101" w:rsidRDefault="00BD4101" w:rsidP="006C11F2">
            <w:r>
              <w:t>People &amp; Organisation</w:t>
            </w:r>
          </w:p>
        </w:tc>
        <w:tc>
          <w:tcPr>
            <w:tcW w:w="5040" w:type="dxa"/>
          </w:tcPr>
          <w:p w14:paraId="07DE1F2A" w14:textId="77777777" w:rsidR="00BD4101" w:rsidRDefault="00BD4101" w:rsidP="006C11F2">
            <w:r>
              <w:t>- Assess business-facing touchpoints, customer sensitivity, and language dependence.</w:t>
            </w:r>
            <w:r>
              <w:br/>
              <w:t>- Consider talent availability in the offshore location for each process family.</w:t>
            </w:r>
          </w:p>
        </w:tc>
      </w:tr>
      <w:tr w:rsidR="00BD4101" w14:paraId="359C65DC" w14:textId="77777777" w:rsidTr="006C11F2">
        <w:trPr>
          <w:jc w:val="center"/>
        </w:trPr>
        <w:tc>
          <w:tcPr>
            <w:tcW w:w="5040" w:type="dxa"/>
          </w:tcPr>
          <w:p w14:paraId="0C5D6E5F" w14:textId="77777777" w:rsidR="00BD4101" w:rsidRDefault="00BD4101" w:rsidP="006C11F2">
            <w:r>
              <w:t>Technology &amp; Data</w:t>
            </w:r>
          </w:p>
        </w:tc>
        <w:tc>
          <w:tcPr>
            <w:tcW w:w="5040" w:type="dxa"/>
          </w:tcPr>
          <w:p w14:paraId="775FE9E1" w14:textId="77777777" w:rsidR="00BD4101" w:rsidRDefault="00BD4101" w:rsidP="006C11F2">
            <w:r>
              <w:t>- Check whether process execution depends on local systems, poor workflow support, or weak data quality.</w:t>
            </w:r>
            <w:r>
              <w:br/>
              <w:t>- Assess whether automation or AI could improve suitability before migration.</w:t>
            </w:r>
          </w:p>
        </w:tc>
      </w:tr>
      <w:tr w:rsidR="00BD4101" w14:paraId="56807037" w14:textId="77777777" w:rsidTr="006C11F2">
        <w:trPr>
          <w:jc w:val="center"/>
        </w:trPr>
        <w:tc>
          <w:tcPr>
            <w:tcW w:w="5040" w:type="dxa"/>
          </w:tcPr>
          <w:p w14:paraId="4BFC6BFB" w14:textId="77777777" w:rsidR="00BD4101" w:rsidRDefault="00BD4101" w:rsidP="006C11F2">
            <w:r>
              <w:t>Risk, Control &amp; Compliance</w:t>
            </w:r>
          </w:p>
        </w:tc>
        <w:tc>
          <w:tcPr>
            <w:tcW w:w="5040" w:type="dxa"/>
          </w:tcPr>
          <w:p w14:paraId="2DC76BD4" w14:textId="77777777" w:rsidR="00BD4101" w:rsidRDefault="00BD4101" w:rsidP="006C11F2">
            <w:r>
              <w:t>- Review control-critical activities, segregation-of-duties implications, and audit requirements.</w:t>
            </w:r>
            <w:r>
              <w:br/>
              <w:t>- Use phased or hybrid models for high-criticality activities.</w:t>
            </w:r>
          </w:p>
        </w:tc>
      </w:tr>
      <w:tr w:rsidR="00BD4101" w14:paraId="1042C3FA" w14:textId="77777777" w:rsidTr="006C11F2">
        <w:trPr>
          <w:jc w:val="center"/>
        </w:trPr>
        <w:tc>
          <w:tcPr>
            <w:tcW w:w="5040" w:type="dxa"/>
          </w:tcPr>
          <w:p w14:paraId="185DE3C5" w14:textId="77777777" w:rsidR="00BD4101" w:rsidRDefault="00BD4101" w:rsidP="006C11F2">
            <w:r>
              <w:t>Governance</w:t>
            </w:r>
          </w:p>
        </w:tc>
        <w:tc>
          <w:tcPr>
            <w:tcW w:w="5040" w:type="dxa"/>
          </w:tcPr>
          <w:p w14:paraId="64F7C4B8" w14:textId="77777777" w:rsidR="00BD4101" w:rsidRDefault="00BD4101" w:rsidP="006C11F2">
            <w:r>
              <w:t>- Agree wave criteria and document why items are in scope, deferred, or retained onshore.</w:t>
            </w:r>
            <w:r>
              <w:br/>
              <w:t>- Define sign-off requirements from process owners, finance leadership, and controls stakeholders.</w:t>
            </w:r>
          </w:p>
        </w:tc>
      </w:tr>
    </w:tbl>
    <w:p w14:paraId="6C650E55" w14:textId="77777777" w:rsidR="00BD4101" w:rsidRDefault="00BD4101" w:rsidP="00BD4101">
      <w:r>
        <w:rPr>
          <w:b/>
        </w:rPr>
        <w:t>Key deliverables</w:t>
      </w:r>
    </w:p>
    <w:p w14:paraId="7BE3BBC6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Process inventory and suitability assessment</w:t>
      </w:r>
    </w:p>
    <w:p w14:paraId="6AA7A685" w14:textId="7DE556B0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 xml:space="preserve">Wave plan with in-scope, deferred, and retained </w:t>
      </w:r>
      <w:r w:rsidR="00ED1C32">
        <w:t>activities.</w:t>
      </w:r>
    </w:p>
    <w:p w14:paraId="3CAC2571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Dependency map</w:t>
      </w:r>
    </w:p>
    <w:p w14:paraId="332533D2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Selection rationale and stakeholder approvals</w:t>
      </w:r>
    </w:p>
    <w:p w14:paraId="3541DBFA" w14:textId="77777777" w:rsidR="00BD4101" w:rsidRDefault="00BD4101" w:rsidP="00BD4101">
      <w:r>
        <w:rPr>
          <w:b/>
        </w:rPr>
        <w:t>Exit criteria</w:t>
      </w:r>
    </w:p>
    <w:p w14:paraId="3AA0D3BF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First-wave processes are clearly defined and approved.</w:t>
      </w:r>
    </w:p>
    <w:p w14:paraId="46E81CA1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Higher-risk processes have mitigation plans, hybrid models, or a defer decision.</w:t>
      </w:r>
    </w:p>
    <w:p w14:paraId="519F28F3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The sequence of transition is realistic and understood by all impacted teams.</w:t>
      </w:r>
    </w:p>
    <w:p w14:paraId="61F2D1A9" w14:textId="77777777" w:rsidR="00BD4101" w:rsidRDefault="00BD4101" w:rsidP="00BD4101">
      <w:r>
        <w:rPr>
          <w:b/>
        </w:rPr>
        <w:t>Common pitfalls</w:t>
      </w:r>
    </w:p>
    <w:p w14:paraId="3B622300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Moving processes before inputs, outputs, and steps are clearly defined.</w:t>
      </w:r>
    </w:p>
    <w:p w14:paraId="3EE59257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Including too many exceptions or judgement-based activities in the first wave.</w:t>
      </w:r>
    </w:p>
    <w:p w14:paraId="082BD732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lastRenderedPageBreak/>
        <w:t>Ignoring effects on adjacent teams.</w:t>
      </w:r>
    </w:p>
    <w:p w14:paraId="14EB4680" w14:textId="77777777" w:rsidR="00BD4101" w:rsidRDefault="00BD4101" w:rsidP="00BD4101">
      <w:pPr>
        <w:pStyle w:val="Heading2"/>
      </w:pPr>
      <w:r>
        <w:t>Stage 3: Current-State Assessment and Baseline</w:t>
      </w:r>
    </w:p>
    <w:p w14:paraId="20FC4BDB" w14:textId="77777777" w:rsidR="00BD4101" w:rsidRDefault="00BD4101" w:rsidP="00BD4101">
      <w:r>
        <w:t>Purpose: Build a fact base for transition by documenting how work is done today, where it varies, and what baseline performance must be protected or improved.</w:t>
      </w:r>
    </w:p>
    <w:p w14:paraId="09F6E29C" w14:textId="77777777" w:rsidR="00BD4101" w:rsidRDefault="00BD4101" w:rsidP="00BD4101">
      <w:r>
        <w:t>Gate question: Do we understand the as-is process, baseline performance, dependencies, and key risks well enough to transfer safely?</w:t>
      </w:r>
    </w:p>
    <w:p w14:paraId="5F602A2D" w14:textId="77777777" w:rsidR="00BD4101" w:rsidRDefault="00BD4101" w:rsidP="00BD4101">
      <w:r>
        <w:rPr>
          <w:b/>
        </w:rPr>
        <w:t>Key steps</w:t>
      </w:r>
    </w:p>
    <w:p w14:paraId="073EE056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Map processes end-to-end, including handoffs, controls, systems, and exception routes.</w:t>
      </w:r>
    </w:p>
    <w:p w14:paraId="1230EA82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Document current SOPs, work instructions, business rules, and local knowledge.</w:t>
      </w:r>
    </w:p>
    <w:p w14:paraId="79A13798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Baseline volumes, throughput, service levels, error rates, rework, ageing, and FTE effort.</w:t>
      </w:r>
    </w:p>
    <w:p w14:paraId="38DEAF2A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Identify process variation across teams, markets, and products.</w:t>
      </w:r>
    </w:p>
    <w:p w14:paraId="51F2BC4B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Assess impacts on upstream/downstream functions and retained responsibilities.</w:t>
      </w:r>
    </w:p>
    <w:p w14:paraId="682E6182" w14:textId="77777777" w:rsidR="00BD4101" w:rsidRDefault="00BD4101" w:rsidP="00BD4101">
      <w:r>
        <w:rPr>
          <w:b/>
        </w:rPr>
        <w:t>Elements to consider at this stage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BD4101" w14:paraId="0A5DC6C6" w14:textId="77777777" w:rsidTr="006C11F2">
        <w:trPr>
          <w:jc w:val="center"/>
        </w:trPr>
        <w:tc>
          <w:tcPr>
            <w:tcW w:w="5040" w:type="dxa"/>
          </w:tcPr>
          <w:p w14:paraId="565FB761" w14:textId="77777777" w:rsidR="00BD4101" w:rsidRDefault="00BD4101" w:rsidP="006C11F2">
            <w:r>
              <w:t>Lens</w:t>
            </w:r>
          </w:p>
        </w:tc>
        <w:tc>
          <w:tcPr>
            <w:tcW w:w="5040" w:type="dxa"/>
          </w:tcPr>
          <w:p w14:paraId="310AE772" w14:textId="77777777" w:rsidR="00BD4101" w:rsidRDefault="00BD4101" w:rsidP="006C11F2">
            <w:r>
              <w:t>Key considerations</w:t>
            </w:r>
          </w:p>
        </w:tc>
      </w:tr>
      <w:tr w:rsidR="00BD4101" w14:paraId="7296D226" w14:textId="77777777" w:rsidTr="006C11F2">
        <w:trPr>
          <w:jc w:val="center"/>
        </w:trPr>
        <w:tc>
          <w:tcPr>
            <w:tcW w:w="5040" w:type="dxa"/>
          </w:tcPr>
          <w:p w14:paraId="4A9F62E9" w14:textId="77777777" w:rsidR="00BD4101" w:rsidRDefault="00BD4101" w:rsidP="006C11F2">
            <w:r>
              <w:t>Process</w:t>
            </w:r>
          </w:p>
        </w:tc>
        <w:tc>
          <w:tcPr>
            <w:tcW w:w="5040" w:type="dxa"/>
          </w:tcPr>
          <w:p w14:paraId="5FA25B56" w14:textId="77777777" w:rsidR="00BD4101" w:rsidRDefault="00BD4101" w:rsidP="006C11F2">
            <w:r>
              <w:t>- Map the as-is flow, decision points, approvals, exceptions, and escalation paths.</w:t>
            </w:r>
            <w:r>
              <w:br/>
              <w:t>- Identify where simplification and standardisation are needed before transfer.</w:t>
            </w:r>
            <w:r>
              <w:br/>
              <w:t>- Capture tacit knowledge held by individuals.</w:t>
            </w:r>
          </w:p>
        </w:tc>
      </w:tr>
      <w:tr w:rsidR="00BD4101" w14:paraId="1F06E04F" w14:textId="77777777" w:rsidTr="006C11F2">
        <w:trPr>
          <w:jc w:val="center"/>
        </w:trPr>
        <w:tc>
          <w:tcPr>
            <w:tcW w:w="5040" w:type="dxa"/>
          </w:tcPr>
          <w:p w14:paraId="1F08E8D4" w14:textId="77777777" w:rsidR="00BD4101" w:rsidRDefault="00BD4101" w:rsidP="006C11F2">
            <w:r>
              <w:t>People &amp; Organisation</w:t>
            </w:r>
          </w:p>
        </w:tc>
        <w:tc>
          <w:tcPr>
            <w:tcW w:w="5040" w:type="dxa"/>
          </w:tcPr>
          <w:p w14:paraId="33D8CB95" w14:textId="77777777" w:rsidR="00BD4101" w:rsidRDefault="00BD4101" w:rsidP="006C11F2">
            <w:r>
              <w:t>- Identify role-by-role responsibilities, peaks, pinch points, and dependency on key individuals.</w:t>
            </w:r>
            <w:r>
              <w:br/>
              <w:t>- Assess the likely morale and engagement impact on both transferring and retained teams.</w:t>
            </w:r>
          </w:p>
        </w:tc>
      </w:tr>
      <w:tr w:rsidR="00BD4101" w14:paraId="1D78AA2E" w14:textId="77777777" w:rsidTr="006C11F2">
        <w:trPr>
          <w:jc w:val="center"/>
        </w:trPr>
        <w:tc>
          <w:tcPr>
            <w:tcW w:w="5040" w:type="dxa"/>
          </w:tcPr>
          <w:p w14:paraId="65D7ED9F" w14:textId="77777777" w:rsidR="00BD4101" w:rsidRDefault="00BD4101" w:rsidP="006C11F2">
            <w:r>
              <w:t>Technology &amp; Data</w:t>
            </w:r>
          </w:p>
        </w:tc>
        <w:tc>
          <w:tcPr>
            <w:tcW w:w="5040" w:type="dxa"/>
          </w:tcPr>
          <w:p w14:paraId="27C3CC13" w14:textId="77777777" w:rsidR="00BD4101" w:rsidRDefault="00BD4101" w:rsidP="006C11F2">
            <w:r>
              <w:t>- Document systems used, interfaces, access methods, reporting tools, and data quality issues.</w:t>
            </w:r>
            <w:r>
              <w:br/>
              <w:t>- Identify manual workarounds that could break when moved.</w:t>
            </w:r>
          </w:p>
        </w:tc>
      </w:tr>
      <w:tr w:rsidR="00BD4101" w14:paraId="502ED25C" w14:textId="77777777" w:rsidTr="006C11F2">
        <w:trPr>
          <w:jc w:val="center"/>
        </w:trPr>
        <w:tc>
          <w:tcPr>
            <w:tcW w:w="5040" w:type="dxa"/>
          </w:tcPr>
          <w:p w14:paraId="39255FCF" w14:textId="77777777" w:rsidR="00BD4101" w:rsidRDefault="00BD4101" w:rsidP="006C11F2">
            <w:r>
              <w:t>Risk, Control &amp; Compliance</w:t>
            </w:r>
          </w:p>
        </w:tc>
        <w:tc>
          <w:tcPr>
            <w:tcW w:w="5040" w:type="dxa"/>
          </w:tcPr>
          <w:p w14:paraId="69D94B68" w14:textId="77777777" w:rsidR="00BD4101" w:rsidRDefault="00BD4101" w:rsidP="006C11F2">
            <w:r>
              <w:t>- List key controls, audit evidence requirements, and policy/regulatory considerations.</w:t>
            </w:r>
            <w:r>
              <w:br/>
              <w:t>- Confirm where local language or local market knowledge is essential.</w:t>
            </w:r>
          </w:p>
        </w:tc>
      </w:tr>
      <w:tr w:rsidR="00BD4101" w14:paraId="65C14D6C" w14:textId="77777777" w:rsidTr="006C11F2">
        <w:trPr>
          <w:jc w:val="center"/>
        </w:trPr>
        <w:tc>
          <w:tcPr>
            <w:tcW w:w="5040" w:type="dxa"/>
          </w:tcPr>
          <w:p w14:paraId="2F48FDBF" w14:textId="77777777" w:rsidR="00BD4101" w:rsidRDefault="00BD4101" w:rsidP="006C11F2">
            <w:r>
              <w:t>Governance</w:t>
            </w:r>
          </w:p>
        </w:tc>
        <w:tc>
          <w:tcPr>
            <w:tcW w:w="5040" w:type="dxa"/>
          </w:tcPr>
          <w:p w14:paraId="1E3B5890" w14:textId="77777777" w:rsidR="00BD4101" w:rsidRDefault="00BD4101" w:rsidP="006C11F2">
            <w:r>
              <w:t>- Agree a baseline pack and fact-based reporting that will later support objective performance discussions.</w:t>
            </w:r>
          </w:p>
        </w:tc>
      </w:tr>
    </w:tbl>
    <w:p w14:paraId="43C42284" w14:textId="77777777" w:rsidR="00BD4101" w:rsidRDefault="00BD4101" w:rsidP="00BD4101">
      <w:r>
        <w:rPr>
          <w:b/>
        </w:rPr>
        <w:t>Key deliverables</w:t>
      </w:r>
    </w:p>
    <w:p w14:paraId="566D0C93" w14:textId="1A100924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 xml:space="preserve">As-is process </w:t>
      </w:r>
      <w:r w:rsidR="00E30A84">
        <w:t>maps.</w:t>
      </w:r>
    </w:p>
    <w:p w14:paraId="30884F73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SOPs and process notes</w:t>
      </w:r>
    </w:p>
    <w:p w14:paraId="785CC5C4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Baseline KPI/SLA pack for quality and delivery</w:t>
      </w:r>
    </w:p>
    <w:p w14:paraId="1A1BEBFD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Dependency and impact assessment</w:t>
      </w:r>
    </w:p>
    <w:p w14:paraId="3C38FF15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Knowledge capture log</w:t>
      </w:r>
    </w:p>
    <w:p w14:paraId="719EAEFA" w14:textId="77777777" w:rsidR="00BD4101" w:rsidRDefault="00BD4101" w:rsidP="00BD4101">
      <w:r>
        <w:rPr>
          <w:b/>
        </w:rPr>
        <w:lastRenderedPageBreak/>
        <w:t>Exit criteria</w:t>
      </w:r>
    </w:p>
    <w:p w14:paraId="6FABB1AA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Process knowledge is documented well enough to train others.</w:t>
      </w:r>
    </w:p>
    <w:p w14:paraId="28CBC8E9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Baseline performance and staffing assumptions are evidence-based.</w:t>
      </w:r>
    </w:p>
    <w:p w14:paraId="2CE759C1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Key dependencies, controls, and exception scenarios are understood.</w:t>
      </w:r>
    </w:p>
    <w:p w14:paraId="426B030D" w14:textId="77777777" w:rsidR="00BD4101" w:rsidRDefault="00BD4101" w:rsidP="00BD4101">
      <w:r>
        <w:rPr>
          <w:b/>
        </w:rPr>
        <w:t>Common pitfalls</w:t>
      </w:r>
    </w:p>
    <w:p w14:paraId="1E60DD92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Underestimating embedded local knowledge.</w:t>
      </w:r>
    </w:p>
    <w:p w14:paraId="0520E756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Missing process variation across markets or teams.</w:t>
      </w:r>
    </w:p>
    <w:p w14:paraId="5A5771AF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Starting transfer before documentation is complete.</w:t>
      </w:r>
    </w:p>
    <w:p w14:paraId="67B11D30" w14:textId="77777777" w:rsidR="00BD4101" w:rsidRDefault="00BD4101" w:rsidP="00BD4101">
      <w:pPr>
        <w:pStyle w:val="Heading2"/>
      </w:pPr>
      <w:r>
        <w:t>Stage 4: Target Operating Model and Detailed Design</w:t>
      </w:r>
    </w:p>
    <w:p w14:paraId="10B9B9BE" w14:textId="77777777" w:rsidR="00BD4101" w:rsidRDefault="00BD4101" w:rsidP="00BD4101">
      <w:r>
        <w:t>Purpose: Design how the future service will operate across onshore and offshore teams, with clear ownership, governance, controls, and ways of working.</w:t>
      </w:r>
    </w:p>
    <w:p w14:paraId="401778CD" w14:textId="77777777" w:rsidR="00BD4101" w:rsidRDefault="00BD4101" w:rsidP="00BD4101">
      <w:r>
        <w:t>Gate question: Is the future operating model designed, agreed, and measurable?</w:t>
      </w:r>
    </w:p>
    <w:p w14:paraId="5F8234F3" w14:textId="77777777" w:rsidR="00BD4101" w:rsidRDefault="00BD4101" w:rsidP="00BD4101">
      <w:r>
        <w:rPr>
          <w:b/>
        </w:rPr>
        <w:t>Key steps</w:t>
      </w:r>
    </w:p>
    <w:p w14:paraId="21363E5F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Define the detailed target operating model and retained organisation.</w:t>
      </w:r>
    </w:p>
    <w:p w14:paraId="39039229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Set service ownership, RACI, handoffs, decision rights, and escalation routes.</w:t>
      </w:r>
    </w:p>
    <w:p w14:paraId="590B0BF4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Design standard processes, controls, and exception handling.</w:t>
      </w:r>
    </w:p>
    <w:p w14:paraId="17D68069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Define the service catalogue, KPIs, SLAs, and reporting cadence.</w:t>
      </w:r>
    </w:p>
    <w:p w14:paraId="1B08FDC9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Shape the offshore team structure, role profiles, and talent model.</w:t>
      </w:r>
    </w:p>
    <w:p w14:paraId="42FCBFFE" w14:textId="77777777" w:rsidR="00BD4101" w:rsidRDefault="00BD4101" w:rsidP="00BD4101">
      <w:r>
        <w:rPr>
          <w:b/>
        </w:rPr>
        <w:t>Elements to consider at this stage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BD4101" w14:paraId="5B27E952" w14:textId="77777777" w:rsidTr="006C11F2">
        <w:trPr>
          <w:jc w:val="center"/>
        </w:trPr>
        <w:tc>
          <w:tcPr>
            <w:tcW w:w="5040" w:type="dxa"/>
          </w:tcPr>
          <w:p w14:paraId="755E410C" w14:textId="77777777" w:rsidR="00BD4101" w:rsidRDefault="00BD4101" w:rsidP="006C11F2">
            <w:r>
              <w:t>Lens</w:t>
            </w:r>
          </w:p>
        </w:tc>
        <w:tc>
          <w:tcPr>
            <w:tcW w:w="5040" w:type="dxa"/>
          </w:tcPr>
          <w:p w14:paraId="3BF25807" w14:textId="77777777" w:rsidR="00BD4101" w:rsidRDefault="00BD4101" w:rsidP="006C11F2">
            <w:r>
              <w:t>Key considerations</w:t>
            </w:r>
          </w:p>
        </w:tc>
      </w:tr>
      <w:tr w:rsidR="00BD4101" w14:paraId="07FCE11F" w14:textId="77777777" w:rsidTr="006C11F2">
        <w:trPr>
          <w:jc w:val="center"/>
        </w:trPr>
        <w:tc>
          <w:tcPr>
            <w:tcW w:w="5040" w:type="dxa"/>
          </w:tcPr>
          <w:p w14:paraId="252ED465" w14:textId="77777777" w:rsidR="00BD4101" w:rsidRDefault="00BD4101" w:rsidP="006C11F2">
            <w:r>
              <w:t>Process</w:t>
            </w:r>
          </w:p>
        </w:tc>
        <w:tc>
          <w:tcPr>
            <w:tcW w:w="5040" w:type="dxa"/>
          </w:tcPr>
          <w:p w14:paraId="1096E5DC" w14:textId="77777777" w:rsidR="00BD4101" w:rsidRDefault="00BD4101" w:rsidP="006C11F2">
            <w:r>
              <w:t>- Standardise before migration wherever practical.</w:t>
            </w:r>
            <w:r>
              <w:br/>
              <w:t>- Create clear exception routes and avoid ambiguous handoffs.</w:t>
            </w:r>
            <w:r>
              <w:br/>
              <w:t>- Decide which processes should be lifted as-is for stability and which should be redesigned first.</w:t>
            </w:r>
          </w:p>
        </w:tc>
      </w:tr>
      <w:tr w:rsidR="00BD4101" w14:paraId="4A26F65E" w14:textId="77777777" w:rsidTr="006C11F2">
        <w:trPr>
          <w:jc w:val="center"/>
        </w:trPr>
        <w:tc>
          <w:tcPr>
            <w:tcW w:w="5040" w:type="dxa"/>
          </w:tcPr>
          <w:p w14:paraId="0B551E95" w14:textId="77777777" w:rsidR="00BD4101" w:rsidRDefault="00BD4101" w:rsidP="006C11F2">
            <w:r>
              <w:t>People &amp; Organisation</w:t>
            </w:r>
          </w:p>
        </w:tc>
        <w:tc>
          <w:tcPr>
            <w:tcW w:w="5040" w:type="dxa"/>
          </w:tcPr>
          <w:p w14:paraId="5B82F612" w14:textId="77777777" w:rsidR="00BD4101" w:rsidRDefault="00BD4101" w:rsidP="006C11F2">
            <w:r>
              <w:t>- Define offshore roles, retained onshore roles, reporting lines, and leadership accountabilities.</w:t>
            </w:r>
            <w:r>
              <w:br/>
              <w:t>- Plan career paths and development in both the offshore and retained teams.</w:t>
            </w:r>
            <w:r>
              <w:br/>
              <w:t>- Involve relevant onshore leaders in recruitment where appropriate.</w:t>
            </w:r>
          </w:p>
        </w:tc>
      </w:tr>
      <w:tr w:rsidR="00BD4101" w14:paraId="79B0B7EF" w14:textId="77777777" w:rsidTr="006C11F2">
        <w:trPr>
          <w:jc w:val="center"/>
        </w:trPr>
        <w:tc>
          <w:tcPr>
            <w:tcW w:w="5040" w:type="dxa"/>
          </w:tcPr>
          <w:p w14:paraId="53C64838" w14:textId="77777777" w:rsidR="00BD4101" w:rsidRDefault="00BD4101" w:rsidP="006C11F2">
            <w:r>
              <w:t>Technology &amp; Data</w:t>
            </w:r>
          </w:p>
        </w:tc>
        <w:tc>
          <w:tcPr>
            <w:tcW w:w="5040" w:type="dxa"/>
          </w:tcPr>
          <w:p w14:paraId="78CD5E89" w14:textId="77777777" w:rsidR="00BD4101" w:rsidRDefault="00BD4101" w:rsidP="006C11F2">
            <w:r>
              <w:t>- Design access, workflow, reporting, collaboration, and ticketing support needed for the future model.</w:t>
            </w:r>
            <w:r>
              <w:br/>
              <w:t>- Plan data cleansing and standardisation to reduce friction after go-live.</w:t>
            </w:r>
          </w:p>
        </w:tc>
      </w:tr>
      <w:tr w:rsidR="00BD4101" w14:paraId="056EB44E" w14:textId="77777777" w:rsidTr="006C11F2">
        <w:trPr>
          <w:jc w:val="center"/>
        </w:trPr>
        <w:tc>
          <w:tcPr>
            <w:tcW w:w="5040" w:type="dxa"/>
          </w:tcPr>
          <w:p w14:paraId="0B8D49EF" w14:textId="77777777" w:rsidR="00BD4101" w:rsidRDefault="00BD4101" w:rsidP="006C11F2">
            <w:r>
              <w:t>Risk, Control &amp; Compliance</w:t>
            </w:r>
          </w:p>
        </w:tc>
        <w:tc>
          <w:tcPr>
            <w:tcW w:w="5040" w:type="dxa"/>
          </w:tcPr>
          <w:p w14:paraId="4659FDE9" w14:textId="77777777" w:rsidR="00BD4101" w:rsidRDefault="00BD4101" w:rsidP="006C11F2">
            <w:r>
              <w:t>- Embed control ownership, evidencing requirements, and segregation-of-duties rules in the design.</w:t>
            </w:r>
            <w:r>
              <w:br/>
              <w:t>- Confirm any legal, labour, privacy, or policy constraints.</w:t>
            </w:r>
          </w:p>
        </w:tc>
      </w:tr>
      <w:tr w:rsidR="00BD4101" w14:paraId="62340179" w14:textId="77777777" w:rsidTr="006C11F2">
        <w:trPr>
          <w:jc w:val="center"/>
        </w:trPr>
        <w:tc>
          <w:tcPr>
            <w:tcW w:w="5040" w:type="dxa"/>
          </w:tcPr>
          <w:p w14:paraId="0307D3F4" w14:textId="77777777" w:rsidR="00BD4101" w:rsidRDefault="00BD4101" w:rsidP="006C11F2">
            <w:r>
              <w:lastRenderedPageBreak/>
              <w:t>Governance</w:t>
            </w:r>
          </w:p>
        </w:tc>
        <w:tc>
          <w:tcPr>
            <w:tcW w:w="5040" w:type="dxa"/>
          </w:tcPr>
          <w:p w14:paraId="5E5AF348" w14:textId="77777777" w:rsidR="00BD4101" w:rsidRDefault="00BD4101" w:rsidP="006C11F2">
            <w:r>
              <w:t>- Define governance forums, performance reviews, service reviews, and escalation mechanisms.</w:t>
            </w:r>
            <w:r>
              <w:br/>
              <w:t>- Name an onshore relationship owner accountable for the service.</w:t>
            </w:r>
          </w:p>
        </w:tc>
      </w:tr>
    </w:tbl>
    <w:p w14:paraId="00297A85" w14:textId="77777777" w:rsidR="00BD4101" w:rsidRDefault="00BD4101" w:rsidP="00BD4101">
      <w:r>
        <w:rPr>
          <w:b/>
        </w:rPr>
        <w:t>Key deliverables</w:t>
      </w:r>
    </w:p>
    <w:p w14:paraId="524DE195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Target operating model</w:t>
      </w:r>
    </w:p>
    <w:p w14:paraId="10D403D9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RACI and retained-organisation design</w:t>
      </w:r>
    </w:p>
    <w:p w14:paraId="30A46138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Future-state process maps and exception routes</w:t>
      </w:r>
    </w:p>
    <w:p w14:paraId="2D325C77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KPI/SLA framework</w:t>
      </w:r>
    </w:p>
    <w:p w14:paraId="001200C6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Offshore role profiles and recruitment plan</w:t>
      </w:r>
    </w:p>
    <w:p w14:paraId="4DB4609B" w14:textId="77777777" w:rsidR="00BD4101" w:rsidRDefault="00BD4101" w:rsidP="00BD4101">
      <w:r>
        <w:rPr>
          <w:b/>
        </w:rPr>
        <w:t>Exit criteria</w:t>
      </w:r>
    </w:p>
    <w:p w14:paraId="1BEAE863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The target operating model is signed off by process owners, finance leadership, and controls stakeholders.</w:t>
      </w:r>
    </w:p>
    <w:p w14:paraId="1DE1E96C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Roles and accountabilities are explicit.</w:t>
      </w:r>
    </w:p>
    <w:p w14:paraId="7EC48456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Service expectations can be measured objectively.</w:t>
      </w:r>
    </w:p>
    <w:p w14:paraId="5415C89C" w14:textId="77777777" w:rsidR="00BD4101" w:rsidRDefault="00BD4101" w:rsidP="00BD4101">
      <w:r>
        <w:rPr>
          <w:b/>
        </w:rPr>
        <w:t>Common pitfalls</w:t>
      </w:r>
    </w:p>
    <w:p w14:paraId="62BDDBC4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Leaving governance vague.</w:t>
      </w:r>
    </w:p>
    <w:p w14:paraId="28A4D8E7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Assuming offshore and onshore teams will 'figure it out' informally.</w:t>
      </w:r>
    </w:p>
    <w:p w14:paraId="5721E292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Designing a model without accounting for talent retention and future development.</w:t>
      </w:r>
    </w:p>
    <w:p w14:paraId="49FDCDE9" w14:textId="77777777" w:rsidR="00BD4101" w:rsidRDefault="00BD4101" w:rsidP="00BD4101">
      <w:pPr>
        <w:pStyle w:val="Heading2"/>
      </w:pPr>
      <w:r>
        <w:t>Stage 5: Readiness, Enablement and Transition Planning</w:t>
      </w:r>
    </w:p>
    <w:p w14:paraId="28D13970" w14:textId="77777777" w:rsidR="00BD4101" w:rsidRDefault="00BD4101" w:rsidP="00BD4101">
      <w:r>
        <w:t>Purpose: Put in place all prerequisites for a controlled migration, including people readiness, systems access, training, communications, and a realistic cutover plan.</w:t>
      </w:r>
    </w:p>
    <w:p w14:paraId="7D9556B3" w14:textId="77777777" w:rsidR="00BD4101" w:rsidRDefault="00BD4101" w:rsidP="00BD4101">
      <w:r>
        <w:t>Gate question: Are all core enablers ready for training and transition?</w:t>
      </w:r>
    </w:p>
    <w:p w14:paraId="652C0923" w14:textId="77777777" w:rsidR="00BD4101" w:rsidRDefault="00BD4101" w:rsidP="00BD4101">
      <w:r>
        <w:rPr>
          <w:b/>
        </w:rPr>
        <w:t>Key steps</w:t>
      </w:r>
    </w:p>
    <w:p w14:paraId="65676425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Confirm systems, access, data, and infrastructure readiness.</w:t>
      </w:r>
    </w:p>
    <w:p w14:paraId="4A79D6E0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Complete recruitment and onboarding of the offshore team.</w:t>
      </w:r>
    </w:p>
    <w:p w14:paraId="3F353DBF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Prepare the training curriculum, schedule, and materials.</w:t>
      </w:r>
    </w:p>
    <w:p w14:paraId="788E9137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Build the detailed migration plan, milestones, and cutover checklist.</w:t>
      </w:r>
    </w:p>
    <w:p w14:paraId="1065DA1A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Launch a structured communication and change plan for all stakeholders.</w:t>
      </w:r>
    </w:p>
    <w:p w14:paraId="2E6CD94F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Prepare risk mitigations, contingency options, and hypercare support.</w:t>
      </w:r>
    </w:p>
    <w:p w14:paraId="20D97894" w14:textId="77777777" w:rsidR="00BD4101" w:rsidRDefault="00BD4101" w:rsidP="00BD4101">
      <w:r>
        <w:rPr>
          <w:b/>
        </w:rPr>
        <w:t>Elements to consider at this stage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BD4101" w14:paraId="38EC7438" w14:textId="77777777" w:rsidTr="006C11F2">
        <w:trPr>
          <w:jc w:val="center"/>
        </w:trPr>
        <w:tc>
          <w:tcPr>
            <w:tcW w:w="5040" w:type="dxa"/>
          </w:tcPr>
          <w:p w14:paraId="51F3872D" w14:textId="77777777" w:rsidR="00BD4101" w:rsidRDefault="00BD4101" w:rsidP="006C11F2">
            <w:r>
              <w:t>Lens</w:t>
            </w:r>
          </w:p>
        </w:tc>
        <w:tc>
          <w:tcPr>
            <w:tcW w:w="5040" w:type="dxa"/>
          </w:tcPr>
          <w:p w14:paraId="0695B925" w14:textId="77777777" w:rsidR="00BD4101" w:rsidRDefault="00BD4101" w:rsidP="006C11F2">
            <w:r>
              <w:t>Key considerations</w:t>
            </w:r>
          </w:p>
        </w:tc>
      </w:tr>
      <w:tr w:rsidR="00BD4101" w14:paraId="493D5800" w14:textId="77777777" w:rsidTr="006C11F2">
        <w:trPr>
          <w:jc w:val="center"/>
        </w:trPr>
        <w:tc>
          <w:tcPr>
            <w:tcW w:w="5040" w:type="dxa"/>
          </w:tcPr>
          <w:p w14:paraId="62334F86" w14:textId="77777777" w:rsidR="00BD4101" w:rsidRDefault="00BD4101" w:rsidP="006C11F2">
            <w:r>
              <w:t>Process</w:t>
            </w:r>
          </w:p>
        </w:tc>
        <w:tc>
          <w:tcPr>
            <w:tcW w:w="5040" w:type="dxa"/>
          </w:tcPr>
          <w:p w14:paraId="657EB6F2" w14:textId="77777777" w:rsidR="00BD4101" w:rsidRDefault="00BD4101" w:rsidP="006C11F2">
            <w:r>
              <w:t>- Freeze the in-scope process design for transition purposes.</w:t>
            </w:r>
            <w:r>
              <w:br/>
              <w:t>- Document milestone-based handover criteria and readiness checkpoints.</w:t>
            </w:r>
          </w:p>
        </w:tc>
      </w:tr>
      <w:tr w:rsidR="00BD4101" w14:paraId="42834AD0" w14:textId="77777777" w:rsidTr="006C11F2">
        <w:trPr>
          <w:jc w:val="center"/>
        </w:trPr>
        <w:tc>
          <w:tcPr>
            <w:tcW w:w="5040" w:type="dxa"/>
          </w:tcPr>
          <w:p w14:paraId="5165DC07" w14:textId="77777777" w:rsidR="00BD4101" w:rsidRDefault="00BD4101" w:rsidP="006C11F2">
            <w:r>
              <w:t>People &amp; Organisation</w:t>
            </w:r>
          </w:p>
        </w:tc>
        <w:tc>
          <w:tcPr>
            <w:tcW w:w="5040" w:type="dxa"/>
          </w:tcPr>
          <w:p w14:paraId="4BB6E530" w14:textId="77777777" w:rsidR="00BD4101" w:rsidRDefault="00BD4101" w:rsidP="006C11F2">
            <w:r>
              <w:t>- Set role clarity for trainers, trainees, retained team, and leadership.</w:t>
            </w:r>
            <w:r>
              <w:br/>
              <w:t>- Plan how to support morale, trust, and adoption across locations.</w:t>
            </w:r>
            <w:r>
              <w:br/>
            </w:r>
            <w:r>
              <w:lastRenderedPageBreak/>
              <w:t>- Brief external stakeholders where the operating model change may affect them.</w:t>
            </w:r>
          </w:p>
        </w:tc>
      </w:tr>
      <w:tr w:rsidR="00BD4101" w14:paraId="2C2EA853" w14:textId="77777777" w:rsidTr="006C11F2">
        <w:trPr>
          <w:jc w:val="center"/>
        </w:trPr>
        <w:tc>
          <w:tcPr>
            <w:tcW w:w="5040" w:type="dxa"/>
          </w:tcPr>
          <w:p w14:paraId="41D9E860" w14:textId="77777777" w:rsidR="00BD4101" w:rsidRDefault="00BD4101" w:rsidP="006C11F2">
            <w:r>
              <w:lastRenderedPageBreak/>
              <w:t>Technology &amp; Data</w:t>
            </w:r>
          </w:p>
        </w:tc>
        <w:tc>
          <w:tcPr>
            <w:tcW w:w="5040" w:type="dxa"/>
          </w:tcPr>
          <w:p w14:paraId="5FB48A68" w14:textId="77777777" w:rsidR="00BD4101" w:rsidRDefault="00BD4101" w:rsidP="006C11F2">
            <w:r>
              <w:t>- Validate logins, permissions, environments, connectivity, and collaboration tools before training starts.</w:t>
            </w:r>
            <w:r>
              <w:br/>
              <w:t>- Resolve data-quality and workflow issues that would otherwise undermine learning or execution.</w:t>
            </w:r>
          </w:p>
        </w:tc>
      </w:tr>
      <w:tr w:rsidR="00BD4101" w14:paraId="763A3924" w14:textId="77777777" w:rsidTr="006C11F2">
        <w:trPr>
          <w:jc w:val="center"/>
        </w:trPr>
        <w:tc>
          <w:tcPr>
            <w:tcW w:w="5040" w:type="dxa"/>
          </w:tcPr>
          <w:p w14:paraId="14FC4B40" w14:textId="77777777" w:rsidR="00BD4101" w:rsidRDefault="00BD4101" w:rsidP="006C11F2">
            <w:r>
              <w:t>Risk, Control &amp; Compliance</w:t>
            </w:r>
          </w:p>
        </w:tc>
        <w:tc>
          <w:tcPr>
            <w:tcW w:w="5040" w:type="dxa"/>
          </w:tcPr>
          <w:p w14:paraId="2DDF9A96" w14:textId="77777777" w:rsidR="00BD4101" w:rsidRDefault="00BD4101" w:rsidP="006C11F2">
            <w:r>
              <w:t>- Confirm all control documentation, approval matrices, and compliance requirements are ready.</w:t>
            </w:r>
            <w:r>
              <w:br/>
              <w:t>- Create contingency plans for service interruption, attrition, or delayed readiness.</w:t>
            </w:r>
          </w:p>
        </w:tc>
      </w:tr>
      <w:tr w:rsidR="00BD4101" w14:paraId="5BE09F50" w14:textId="77777777" w:rsidTr="006C11F2">
        <w:trPr>
          <w:jc w:val="center"/>
        </w:trPr>
        <w:tc>
          <w:tcPr>
            <w:tcW w:w="5040" w:type="dxa"/>
          </w:tcPr>
          <w:p w14:paraId="32AF1350" w14:textId="77777777" w:rsidR="00BD4101" w:rsidRDefault="00BD4101" w:rsidP="006C11F2">
            <w:r>
              <w:t>Governance</w:t>
            </w:r>
          </w:p>
        </w:tc>
        <w:tc>
          <w:tcPr>
            <w:tcW w:w="5040" w:type="dxa"/>
          </w:tcPr>
          <w:p w14:paraId="0184BA02" w14:textId="77777777" w:rsidR="00BD4101" w:rsidRDefault="00BD4101" w:rsidP="006C11F2">
            <w:r>
              <w:t>- Agree programme milestones, sign-offs, issue-management routes, and reporting cadence.</w:t>
            </w:r>
            <w:r>
              <w:br/>
              <w:t>- Confirm how decisions will be made if timelines slip or readiness gates are not met.</w:t>
            </w:r>
          </w:p>
        </w:tc>
      </w:tr>
    </w:tbl>
    <w:p w14:paraId="534CAFEE" w14:textId="77777777" w:rsidR="00BD4101" w:rsidRDefault="00BD4101" w:rsidP="00BD4101">
      <w:r>
        <w:rPr>
          <w:b/>
        </w:rPr>
        <w:t>Key deliverables</w:t>
      </w:r>
    </w:p>
    <w:p w14:paraId="40062A08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Detailed transition plan</w:t>
      </w:r>
    </w:p>
    <w:p w14:paraId="47875650" w14:textId="1E2D84F9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 xml:space="preserve">Communications and change </w:t>
      </w:r>
      <w:r w:rsidR="003118C7">
        <w:t>plan.</w:t>
      </w:r>
    </w:p>
    <w:p w14:paraId="2E071A00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Training curriculum and schedule</w:t>
      </w:r>
    </w:p>
    <w:p w14:paraId="617D2ACB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Access and technology readiness checklist</w:t>
      </w:r>
    </w:p>
    <w:p w14:paraId="19DFA1D0" w14:textId="0527CFAC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 xml:space="preserve">Risk register and contingency </w:t>
      </w:r>
      <w:r w:rsidR="003118C7">
        <w:t>plan.</w:t>
      </w:r>
    </w:p>
    <w:p w14:paraId="334F69E7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Hypercare plan</w:t>
      </w:r>
    </w:p>
    <w:p w14:paraId="089E8562" w14:textId="77777777" w:rsidR="00BD4101" w:rsidRDefault="00BD4101" w:rsidP="00BD4101">
      <w:r>
        <w:rPr>
          <w:b/>
        </w:rPr>
        <w:t>Exit criteria</w:t>
      </w:r>
    </w:p>
    <w:p w14:paraId="446FB880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All core enablers are in place before formal training begins.</w:t>
      </w:r>
    </w:p>
    <w:p w14:paraId="0D05CD50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Training materials, SOPs, and system access are complete.</w:t>
      </w:r>
    </w:p>
    <w:p w14:paraId="32A21C21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Stakeholders understand the timeline, roles, and escalation routes.</w:t>
      </w:r>
    </w:p>
    <w:p w14:paraId="101DDBF5" w14:textId="77777777" w:rsidR="00BD4101" w:rsidRDefault="00BD4101" w:rsidP="00BD4101">
      <w:r>
        <w:rPr>
          <w:b/>
        </w:rPr>
        <w:t>Common pitfalls</w:t>
      </w:r>
    </w:p>
    <w:p w14:paraId="648C01CB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Starting training without systems access or clean documentation.</w:t>
      </w:r>
    </w:p>
    <w:p w14:paraId="6A2DC6FF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Underestimating the communication and change effort.</w:t>
      </w:r>
    </w:p>
    <w:p w14:paraId="7938274F" w14:textId="0E4E74CC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 xml:space="preserve">Planning a </w:t>
      </w:r>
      <w:r w:rsidR="00075BE4">
        <w:t>big bang</w:t>
      </w:r>
      <w:r>
        <w:t xml:space="preserve"> move where a phased approach would be safer.</w:t>
      </w:r>
    </w:p>
    <w:p w14:paraId="7A48F982" w14:textId="77777777" w:rsidR="00BD4101" w:rsidRDefault="00BD4101" w:rsidP="00BD4101">
      <w:pPr>
        <w:pStyle w:val="Heading2"/>
      </w:pPr>
      <w:r>
        <w:t>Stage 6: Training, Knowledge Transfer and Handover</w:t>
      </w:r>
    </w:p>
    <w:p w14:paraId="5C98DB26" w14:textId="77777777" w:rsidR="00BD4101" w:rsidRDefault="00BD4101" w:rsidP="00BD4101">
      <w:r>
        <w:t>Purpose: Build offshore capability safely through structured learning, demonstrable proficiency, and controlled transfer of accountability.</w:t>
      </w:r>
    </w:p>
    <w:p w14:paraId="6F1C226F" w14:textId="77777777" w:rsidR="00BD4101" w:rsidRDefault="00BD4101" w:rsidP="00BD4101">
      <w:r>
        <w:t>Gate question: Has the offshore team demonstrated proficiency and formally taken ownership?</w:t>
      </w:r>
    </w:p>
    <w:p w14:paraId="2561F02A" w14:textId="77777777" w:rsidR="00BD4101" w:rsidRDefault="00BD4101" w:rsidP="00BD4101">
      <w:r>
        <w:rPr>
          <w:b/>
        </w:rPr>
        <w:t>Key steps</w:t>
      </w:r>
    </w:p>
    <w:p w14:paraId="39474E34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Train offshore team members on the end-to-end process, not just isolated tasks.</w:t>
      </w:r>
    </w:p>
    <w:p w14:paraId="7F8FFDA6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Use a sequence of observe -&gt; perform with supervision -&gt; reverse shadow -&gt; independent execution.</w:t>
      </w:r>
    </w:p>
    <w:p w14:paraId="5202C490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Define measurable proficiency checkpoints before trainer exit.</w:t>
      </w:r>
    </w:p>
    <w:p w14:paraId="4F3B9A82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Transfer accountability in stages, with formal handover milestones and sign-offs.</w:t>
      </w:r>
    </w:p>
    <w:p w14:paraId="3CA35108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Maintain strong communication, trust-building, and leadership support throughout.</w:t>
      </w:r>
    </w:p>
    <w:p w14:paraId="606877A5" w14:textId="77777777" w:rsidR="00BD4101" w:rsidRDefault="00BD4101" w:rsidP="00BD4101">
      <w:r>
        <w:rPr>
          <w:b/>
        </w:rPr>
        <w:lastRenderedPageBreak/>
        <w:t>Elements to consider at this stage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BD4101" w14:paraId="47690EA7" w14:textId="77777777" w:rsidTr="006C11F2">
        <w:trPr>
          <w:jc w:val="center"/>
        </w:trPr>
        <w:tc>
          <w:tcPr>
            <w:tcW w:w="5040" w:type="dxa"/>
          </w:tcPr>
          <w:p w14:paraId="22C2E9AF" w14:textId="77777777" w:rsidR="00BD4101" w:rsidRDefault="00BD4101" w:rsidP="006C11F2">
            <w:r>
              <w:t>Lens</w:t>
            </w:r>
          </w:p>
        </w:tc>
        <w:tc>
          <w:tcPr>
            <w:tcW w:w="5040" w:type="dxa"/>
          </w:tcPr>
          <w:p w14:paraId="2A8B91E7" w14:textId="77777777" w:rsidR="00BD4101" w:rsidRDefault="00BD4101" w:rsidP="006C11F2">
            <w:r>
              <w:t>Key considerations</w:t>
            </w:r>
          </w:p>
        </w:tc>
      </w:tr>
      <w:tr w:rsidR="00BD4101" w14:paraId="76E81792" w14:textId="77777777" w:rsidTr="006C11F2">
        <w:trPr>
          <w:jc w:val="center"/>
        </w:trPr>
        <w:tc>
          <w:tcPr>
            <w:tcW w:w="5040" w:type="dxa"/>
          </w:tcPr>
          <w:p w14:paraId="2463FE4D" w14:textId="77777777" w:rsidR="00BD4101" w:rsidRDefault="00BD4101" w:rsidP="006C11F2">
            <w:r>
              <w:t>Process</w:t>
            </w:r>
          </w:p>
        </w:tc>
        <w:tc>
          <w:tcPr>
            <w:tcW w:w="5040" w:type="dxa"/>
          </w:tcPr>
          <w:p w14:paraId="2B1F9D73" w14:textId="77777777" w:rsidR="00BD4101" w:rsidRDefault="00BD4101" w:rsidP="006C11F2">
            <w:r>
              <w:t>- Train on process purpose, inputs, outputs, exceptions, controls, and customer or business impact.</w:t>
            </w:r>
            <w:r>
              <w:br/>
              <w:t>- Set measurable checkpoints such as first accurate completion, first fully independent week, or error-threshold achievement.</w:t>
            </w:r>
            <w:r>
              <w:br/>
              <w:t>- Start steady-state KPI/SLA measurement after training is complete, while still tracking training-readiness checkpoints during transfer.</w:t>
            </w:r>
          </w:p>
        </w:tc>
      </w:tr>
      <w:tr w:rsidR="00BD4101" w14:paraId="6ED5D1A0" w14:textId="77777777" w:rsidTr="006C11F2">
        <w:trPr>
          <w:jc w:val="center"/>
        </w:trPr>
        <w:tc>
          <w:tcPr>
            <w:tcW w:w="5040" w:type="dxa"/>
          </w:tcPr>
          <w:p w14:paraId="40DD313A" w14:textId="77777777" w:rsidR="00BD4101" w:rsidRDefault="00BD4101" w:rsidP="006C11F2">
            <w:r>
              <w:t>People &amp; Organisation</w:t>
            </w:r>
          </w:p>
        </w:tc>
        <w:tc>
          <w:tcPr>
            <w:tcW w:w="5040" w:type="dxa"/>
          </w:tcPr>
          <w:p w14:paraId="00B65B36" w14:textId="77777777" w:rsidR="00BD4101" w:rsidRDefault="00BD4101" w:rsidP="006C11F2">
            <w:r>
              <w:t>- Address resistance from both sending and receiving teams.</w:t>
            </w:r>
            <w:r>
              <w:br/>
              <w:t>- Consider language, culture, time zone, and training method.</w:t>
            </w:r>
            <w:r>
              <w:br/>
              <w:t>- Ensure trainers have time and recognition for knowledge-transfer responsibilities.</w:t>
            </w:r>
          </w:p>
        </w:tc>
      </w:tr>
      <w:tr w:rsidR="00BD4101" w14:paraId="0193631D" w14:textId="77777777" w:rsidTr="006C11F2">
        <w:trPr>
          <w:jc w:val="center"/>
        </w:trPr>
        <w:tc>
          <w:tcPr>
            <w:tcW w:w="5040" w:type="dxa"/>
          </w:tcPr>
          <w:p w14:paraId="1BD7CB02" w14:textId="77777777" w:rsidR="00BD4101" w:rsidRDefault="00BD4101" w:rsidP="006C11F2">
            <w:r>
              <w:t>Technology &amp; Data</w:t>
            </w:r>
          </w:p>
        </w:tc>
        <w:tc>
          <w:tcPr>
            <w:tcW w:w="5040" w:type="dxa"/>
          </w:tcPr>
          <w:p w14:paraId="4093CFB0" w14:textId="77777777" w:rsidR="00BD4101" w:rsidRDefault="00BD4101" w:rsidP="006C11F2">
            <w:r>
              <w:t>- Use live systems or realistic training environments where possible.</w:t>
            </w:r>
            <w:r>
              <w:br/>
              <w:t>- Confirm trainees can access the same data, tools, and reports required for independent execution.</w:t>
            </w:r>
          </w:p>
        </w:tc>
      </w:tr>
      <w:tr w:rsidR="00BD4101" w14:paraId="5D9A74D4" w14:textId="77777777" w:rsidTr="006C11F2">
        <w:trPr>
          <w:jc w:val="center"/>
        </w:trPr>
        <w:tc>
          <w:tcPr>
            <w:tcW w:w="5040" w:type="dxa"/>
          </w:tcPr>
          <w:p w14:paraId="0E4E10A7" w14:textId="77777777" w:rsidR="00BD4101" w:rsidRDefault="00BD4101" w:rsidP="006C11F2">
            <w:r>
              <w:t>Risk, Control &amp; Compliance</w:t>
            </w:r>
          </w:p>
        </w:tc>
        <w:tc>
          <w:tcPr>
            <w:tcW w:w="5040" w:type="dxa"/>
          </w:tcPr>
          <w:p w14:paraId="63E18439" w14:textId="77777777" w:rsidR="00BD4101" w:rsidRDefault="00BD4101" w:rsidP="006C11F2">
            <w:r>
              <w:t>- Test understanding of controls, approvals, and evidence requirements as part of proficiency sign-off.</w:t>
            </w:r>
            <w:r>
              <w:br/>
              <w:t>- Avoid premature trainer withdrawal where knowledge gaps remain.</w:t>
            </w:r>
          </w:p>
        </w:tc>
      </w:tr>
      <w:tr w:rsidR="00BD4101" w14:paraId="1EEDCFD4" w14:textId="77777777" w:rsidTr="006C11F2">
        <w:trPr>
          <w:jc w:val="center"/>
        </w:trPr>
        <w:tc>
          <w:tcPr>
            <w:tcW w:w="5040" w:type="dxa"/>
          </w:tcPr>
          <w:p w14:paraId="0980E3C0" w14:textId="77777777" w:rsidR="00BD4101" w:rsidRDefault="00BD4101" w:rsidP="006C11F2">
            <w:r>
              <w:t>Governance</w:t>
            </w:r>
          </w:p>
        </w:tc>
        <w:tc>
          <w:tcPr>
            <w:tcW w:w="5040" w:type="dxa"/>
          </w:tcPr>
          <w:p w14:paraId="30AE0475" w14:textId="77777777" w:rsidR="00BD4101" w:rsidRDefault="00BD4101" w:rsidP="006C11F2">
            <w:r>
              <w:t>- Track completion against the training plan, milestone by milestone.</w:t>
            </w:r>
            <w:r>
              <w:br/>
              <w:t>- Use documented sign-offs for readiness, not informal assumptions.</w:t>
            </w:r>
          </w:p>
        </w:tc>
      </w:tr>
    </w:tbl>
    <w:p w14:paraId="244AAAE5" w14:textId="77777777" w:rsidR="00BD4101" w:rsidRDefault="00BD4101" w:rsidP="00BD4101">
      <w:r>
        <w:rPr>
          <w:b/>
        </w:rPr>
        <w:t>Key deliverables</w:t>
      </w:r>
    </w:p>
    <w:p w14:paraId="5F8AD37A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Training plan completion records</w:t>
      </w:r>
    </w:p>
    <w:p w14:paraId="6BDFE9AD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Competency matrix and proficiency sign-offs</w:t>
      </w:r>
    </w:p>
    <w:p w14:paraId="08148371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Handover milestone log</w:t>
      </w:r>
    </w:p>
    <w:p w14:paraId="1603479E" w14:textId="7E4C9764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Formal readiness approval for go-</w:t>
      </w:r>
      <w:r w:rsidR="00075BE4">
        <w:t>live.</w:t>
      </w:r>
    </w:p>
    <w:p w14:paraId="16DF2968" w14:textId="77777777" w:rsidR="00BD4101" w:rsidRDefault="00BD4101" w:rsidP="00BD4101">
      <w:r>
        <w:rPr>
          <w:b/>
        </w:rPr>
        <w:t>Exit criteria</w:t>
      </w:r>
    </w:p>
    <w:p w14:paraId="0A442651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Offshore team members can execute agreed processes independently to the required standard.</w:t>
      </w:r>
    </w:p>
    <w:p w14:paraId="737EB95B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Accountability has been transferred explicitly.</w:t>
      </w:r>
    </w:p>
    <w:p w14:paraId="5F99C048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Onshore support expectations post-handover are documented.</w:t>
      </w:r>
    </w:p>
    <w:p w14:paraId="28727D79" w14:textId="77777777" w:rsidR="00BD4101" w:rsidRDefault="00BD4101" w:rsidP="00BD4101">
      <w:r>
        <w:rPr>
          <w:b/>
        </w:rPr>
        <w:t>Common pitfalls</w:t>
      </w:r>
    </w:p>
    <w:p w14:paraId="4B445356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Assuming attendance at training equals capability.</w:t>
      </w:r>
    </w:p>
    <w:p w14:paraId="173DF5EB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Rushing handover before reverse shadowing and readiness checks are complete.</w:t>
      </w:r>
    </w:p>
    <w:p w14:paraId="3F0FEC86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Allowing trainers to continue making daily decisions after ownership has supposedly moved.</w:t>
      </w:r>
    </w:p>
    <w:p w14:paraId="60F19457" w14:textId="77777777" w:rsidR="00BD4101" w:rsidRDefault="00BD4101" w:rsidP="00BD4101">
      <w:pPr>
        <w:pStyle w:val="Heading2"/>
      </w:pPr>
      <w:r>
        <w:lastRenderedPageBreak/>
        <w:t>Stage 7: Go-Live, Hypercare and Stabilisation</w:t>
      </w:r>
    </w:p>
    <w:p w14:paraId="2ED4A845" w14:textId="77777777" w:rsidR="00BD4101" w:rsidRDefault="00BD4101" w:rsidP="00BD4101">
      <w:r>
        <w:t>Purpose: Protect service during the first months of operation while the offshore team takes full ownership and the new operating model settles.</w:t>
      </w:r>
    </w:p>
    <w:p w14:paraId="2F4830AA" w14:textId="77777777" w:rsidR="00BD4101" w:rsidRDefault="00BD4101" w:rsidP="00BD4101">
      <w:r>
        <w:t>Gate question: Is service stable, controlled, and owned by the new team without excessive dependency on the old one?</w:t>
      </w:r>
    </w:p>
    <w:p w14:paraId="7F7FBC2D" w14:textId="77777777" w:rsidR="00BD4101" w:rsidRDefault="00BD4101" w:rsidP="00BD4101">
      <w:r>
        <w:rPr>
          <w:b/>
        </w:rPr>
        <w:t>Key steps</w:t>
      </w:r>
    </w:p>
    <w:p w14:paraId="6263030E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Execute go-live against a controlled cutover plan.</w:t>
      </w:r>
    </w:p>
    <w:p w14:paraId="0B7921E8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Provide structured hypercare support, typically for 3 to 6 months depending on complexity and risk.</w:t>
      </w:r>
    </w:p>
    <w:p w14:paraId="41167163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Run frequent operational reviews, issue triage, and escalation forums.</w:t>
      </w:r>
    </w:p>
    <w:p w14:paraId="1508ADF9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Track both quality and delivery measures and compare them to agreed baselines and targets.</w:t>
      </w:r>
    </w:p>
    <w:p w14:paraId="0906D61E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Stabilise first; do not attempt broad optimisation during the initial transfer period.</w:t>
      </w:r>
    </w:p>
    <w:p w14:paraId="6650FA43" w14:textId="77777777" w:rsidR="00BD4101" w:rsidRDefault="00BD4101" w:rsidP="00BD4101">
      <w:r>
        <w:rPr>
          <w:b/>
        </w:rPr>
        <w:t>Elements to consider at this stage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BD4101" w14:paraId="6406483D" w14:textId="77777777" w:rsidTr="006C11F2">
        <w:trPr>
          <w:jc w:val="center"/>
        </w:trPr>
        <w:tc>
          <w:tcPr>
            <w:tcW w:w="5040" w:type="dxa"/>
          </w:tcPr>
          <w:p w14:paraId="4B9DD37A" w14:textId="77777777" w:rsidR="00BD4101" w:rsidRDefault="00BD4101" w:rsidP="006C11F2">
            <w:r>
              <w:t>Lens</w:t>
            </w:r>
          </w:p>
        </w:tc>
        <w:tc>
          <w:tcPr>
            <w:tcW w:w="5040" w:type="dxa"/>
          </w:tcPr>
          <w:p w14:paraId="00C6C1D2" w14:textId="77777777" w:rsidR="00BD4101" w:rsidRDefault="00BD4101" w:rsidP="006C11F2">
            <w:r>
              <w:t>Key considerations</w:t>
            </w:r>
          </w:p>
        </w:tc>
      </w:tr>
      <w:tr w:rsidR="00BD4101" w14:paraId="47536239" w14:textId="77777777" w:rsidTr="006C11F2">
        <w:trPr>
          <w:jc w:val="center"/>
        </w:trPr>
        <w:tc>
          <w:tcPr>
            <w:tcW w:w="5040" w:type="dxa"/>
          </w:tcPr>
          <w:p w14:paraId="600E39C8" w14:textId="77777777" w:rsidR="00BD4101" w:rsidRDefault="00BD4101" w:rsidP="006C11F2">
            <w:r>
              <w:t>Process</w:t>
            </w:r>
          </w:p>
        </w:tc>
        <w:tc>
          <w:tcPr>
            <w:tcW w:w="5040" w:type="dxa"/>
          </w:tcPr>
          <w:p w14:paraId="1CCB88FF" w14:textId="77777777" w:rsidR="00BD4101" w:rsidRDefault="00BD4101" w:rsidP="006C11F2">
            <w:r>
              <w:t>- Operate the agreed process without introducing avoidable redesign during the early weeks.</w:t>
            </w:r>
            <w:r>
              <w:br/>
              <w:t>- Use issue logs to identify defects, unclear SOPs, and exception themes.</w:t>
            </w:r>
          </w:p>
        </w:tc>
      </w:tr>
      <w:tr w:rsidR="00BD4101" w14:paraId="21F2D9C3" w14:textId="77777777" w:rsidTr="006C11F2">
        <w:trPr>
          <w:jc w:val="center"/>
        </w:trPr>
        <w:tc>
          <w:tcPr>
            <w:tcW w:w="5040" w:type="dxa"/>
          </w:tcPr>
          <w:p w14:paraId="64EBF866" w14:textId="77777777" w:rsidR="00BD4101" w:rsidRDefault="00BD4101" w:rsidP="006C11F2">
            <w:r>
              <w:t>People &amp; Organisation</w:t>
            </w:r>
          </w:p>
        </w:tc>
        <w:tc>
          <w:tcPr>
            <w:tcW w:w="5040" w:type="dxa"/>
          </w:tcPr>
          <w:p w14:paraId="4BA55D23" w14:textId="77777777" w:rsidR="00BD4101" w:rsidRDefault="00BD4101" w:rsidP="006C11F2">
            <w:r>
              <w:t>- Maintain onshore support and accessible leadership during hypercare.</w:t>
            </w:r>
            <w:r>
              <w:br/>
              <w:t>- Continue reinforcing one-team behaviours and shared accountability.</w:t>
            </w:r>
          </w:p>
        </w:tc>
      </w:tr>
      <w:tr w:rsidR="00BD4101" w14:paraId="792BFE5C" w14:textId="77777777" w:rsidTr="006C11F2">
        <w:trPr>
          <w:jc w:val="center"/>
        </w:trPr>
        <w:tc>
          <w:tcPr>
            <w:tcW w:w="5040" w:type="dxa"/>
          </w:tcPr>
          <w:p w14:paraId="7C98E3B4" w14:textId="77777777" w:rsidR="00BD4101" w:rsidRDefault="00BD4101" w:rsidP="006C11F2">
            <w:r>
              <w:t>Technology &amp; Data</w:t>
            </w:r>
          </w:p>
        </w:tc>
        <w:tc>
          <w:tcPr>
            <w:tcW w:w="5040" w:type="dxa"/>
          </w:tcPr>
          <w:p w14:paraId="106476BE" w14:textId="77777777" w:rsidR="00BD4101" w:rsidRDefault="00BD4101" w:rsidP="006C11F2">
            <w:r>
              <w:t>- Monitor system issues, access failures, reporting gaps, and data defects closely.</w:t>
            </w:r>
            <w:r>
              <w:br/>
              <w:t>- Use dashboards for real-time progress tracking where possible.</w:t>
            </w:r>
          </w:p>
        </w:tc>
      </w:tr>
      <w:tr w:rsidR="00BD4101" w14:paraId="2D72AF41" w14:textId="77777777" w:rsidTr="006C11F2">
        <w:trPr>
          <w:jc w:val="center"/>
        </w:trPr>
        <w:tc>
          <w:tcPr>
            <w:tcW w:w="5040" w:type="dxa"/>
          </w:tcPr>
          <w:p w14:paraId="27C9F720" w14:textId="77777777" w:rsidR="00BD4101" w:rsidRDefault="00BD4101" w:rsidP="006C11F2">
            <w:r>
              <w:t>Risk, Control &amp; Compliance</w:t>
            </w:r>
          </w:p>
        </w:tc>
        <w:tc>
          <w:tcPr>
            <w:tcW w:w="5040" w:type="dxa"/>
          </w:tcPr>
          <w:p w14:paraId="0A1A4917" w14:textId="77777777" w:rsidR="00BD4101" w:rsidRDefault="00BD4101" w:rsidP="006C11F2">
            <w:r>
              <w:t>- Monitor control execution and evidence completeness from day one.</w:t>
            </w:r>
            <w:r>
              <w:br/>
              <w:t>- Escalate service or compliance risks quickly.</w:t>
            </w:r>
          </w:p>
        </w:tc>
      </w:tr>
      <w:tr w:rsidR="00BD4101" w14:paraId="5B0675B9" w14:textId="77777777" w:rsidTr="006C11F2">
        <w:trPr>
          <w:jc w:val="center"/>
        </w:trPr>
        <w:tc>
          <w:tcPr>
            <w:tcW w:w="5040" w:type="dxa"/>
          </w:tcPr>
          <w:p w14:paraId="23BA176C" w14:textId="77777777" w:rsidR="00BD4101" w:rsidRDefault="00BD4101" w:rsidP="006C11F2">
            <w:r>
              <w:t>Governance</w:t>
            </w:r>
          </w:p>
        </w:tc>
        <w:tc>
          <w:tcPr>
            <w:tcW w:w="5040" w:type="dxa"/>
          </w:tcPr>
          <w:p w14:paraId="352156AA" w14:textId="77777777" w:rsidR="00BD4101" w:rsidRDefault="00BD4101" w:rsidP="006C11F2">
            <w:r>
              <w:t>- Use daily or weekly reviews initially, then taper as stability improves.</w:t>
            </w:r>
            <w:r>
              <w:br/>
              <w:t>- Maintain clear decision-making on issue ownership and remediation.</w:t>
            </w:r>
          </w:p>
        </w:tc>
      </w:tr>
    </w:tbl>
    <w:p w14:paraId="21DF1C5E" w14:textId="77777777" w:rsidR="00BD4101" w:rsidRDefault="00BD4101" w:rsidP="00BD4101">
      <w:r>
        <w:rPr>
          <w:b/>
        </w:rPr>
        <w:t>Key deliverables</w:t>
      </w:r>
    </w:p>
    <w:p w14:paraId="074FF3AE" w14:textId="2AD29044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 xml:space="preserve">Go-live completion </w:t>
      </w:r>
      <w:r w:rsidR="007B66F8">
        <w:t>record.</w:t>
      </w:r>
    </w:p>
    <w:p w14:paraId="21441029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Hypercare issue log and action tracker</w:t>
      </w:r>
    </w:p>
    <w:p w14:paraId="4B2CC657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Initial KPI/SLA dashboard</w:t>
      </w:r>
    </w:p>
    <w:p w14:paraId="0FC1E275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Stabilisation review and sign-off</w:t>
      </w:r>
    </w:p>
    <w:p w14:paraId="1C1956BB" w14:textId="77777777" w:rsidR="00BD4101" w:rsidRDefault="00BD4101" w:rsidP="00BD4101">
      <w:r>
        <w:rPr>
          <w:b/>
        </w:rPr>
        <w:t>Exit criteria</w:t>
      </w:r>
    </w:p>
    <w:p w14:paraId="13210E91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Service is stable and predictable.</w:t>
      </w:r>
    </w:p>
    <w:p w14:paraId="763880DA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lastRenderedPageBreak/>
        <w:t>Major defects and control issues are resolved or under managed action plans.</w:t>
      </w:r>
    </w:p>
    <w:p w14:paraId="70B42387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The offshore team owns day-to-day delivery, with onshore support reduced to the agreed model.</w:t>
      </w:r>
    </w:p>
    <w:p w14:paraId="49C3E775" w14:textId="77777777" w:rsidR="00BD4101" w:rsidRDefault="00BD4101" w:rsidP="00BD4101">
      <w:r>
        <w:rPr>
          <w:b/>
        </w:rPr>
        <w:t>Common pitfalls</w:t>
      </w:r>
    </w:p>
    <w:p w14:paraId="7B933F41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Underestimating post-transfer support needs.</w:t>
      </w:r>
    </w:p>
    <w:p w14:paraId="5AEE92F4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Declaring success too early based only on volume throughput.</w:t>
      </w:r>
    </w:p>
    <w:p w14:paraId="0D887BAD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Measuring speed but not quality.</w:t>
      </w:r>
    </w:p>
    <w:p w14:paraId="47FD57F1" w14:textId="77777777" w:rsidR="00BD4101" w:rsidRDefault="00BD4101" w:rsidP="00BD4101">
      <w:pPr>
        <w:pStyle w:val="Heading2"/>
      </w:pPr>
      <w:r>
        <w:t>Stage 8: Continuous Improvement and Future-State Maturity</w:t>
      </w:r>
    </w:p>
    <w:p w14:paraId="5D2385F3" w14:textId="77777777" w:rsidR="00BD4101" w:rsidRDefault="00BD4101" w:rsidP="00BD4101">
      <w:r>
        <w:t>Purpose: Move from transferred service to a mature capability model that continually improves productivity, quality, flexibility, and talent depth.</w:t>
      </w:r>
    </w:p>
    <w:p w14:paraId="36D6AD78" w14:textId="77777777" w:rsidR="00BD4101" w:rsidRDefault="00BD4101" w:rsidP="00BD4101">
      <w:r>
        <w:t>Gate question: Do we have an active improvement engine and a credible path to a more mature, flexible capability model?</w:t>
      </w:r>
    </w:p>
    <w:p w14:paraId="64C9A78A" w14:textId="77777777" w:rsidR="00BD4101" w:rsidRDefault="00BD4101" w:rsidP="00BD4101">
      <w:r>
        <w:rPr>
          <w:b/>
        </w:rPr>
        <w:t>Key steps</w:t>
      </w:r>
    </w:p>
    <w:p w14:paraId="272D35E5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Introduce progressive SLAs and productivity targets that evolve beyond day-one expectations.</w:t>
      </w:r>
    </w:p>
    <w:p w14:paraId="0C796717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Run regular scorecards, service reviews, and lessons-learned cycles.</w:t>
      </w:r>
    </w:p>
    <w:p w14:paraId="2874891E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Build a formal continuous-improvement backlog and delivery cadence.</w:t>
      </w:r>
    </w:p>
    <w:p w14:paraId="19BCFA60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Apply the sequence simplify -&gt; standardise -&gt; digitalise -&gt; automate, then scale AI where appropriate.</w:t>
      </w:r>
    </w:p>
    <w:p w14:paraId="01DDEA61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Develop team capability, product knowledge, and career pathways to support retention and broader value-add.</w:t>
      </w:r>
    </w:p>
    <w:p w14:paraId="397532E0" w14:textId="77777777" w:rsidR="00BD4101" w:rsidRDefault="00BD4101" w:rsidP="00BD4101">
      <w:r>
        <w:rPr>
          <w:b/>
        </w:rPr>
        <w:t>Elements to consider at this stage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BD4101" w14:paraId="4DA4656F" w14:textId="77777777" w:rsidTr="006C11F2">
        <w:trPr>
          <w:jc w:val="center"/>
        </w:trPr>
        <w:tc>
          <w:tcPr>
            <w:tcW w:w="5040" w:type="dxa"/>
          </w:tcPr>
          <w:p w14:paraId="602D9896" w14:textId="77777777" w:rsidR="00BD4101" w:rsidRDefault="00BD4101" w:rsidP="006C11F2">
            <w:r>
              <w:t>Lens</w:t>
            </w:r>
          </w:p>
        </w:tc>
        <w:tc>
          <w:tcPr>
            <w:tcW w:w="5040" w:type="dxa"/>
          </w:tcPr>
          <w:p w14:paraId="5043A1D6" w14:textId="77777777" w:rsidR="00BD4101" w:rsidRDefault="00BD4101" w:rsidP="006C11F2">
            <w:r>
              <w:t>Key considerations</w:t>
            </w:r>
          </w:p>
        </w:tc>
      </w:tr>
      <w:tr w:rsidR="00BD4101" w14:paraId="706185FE" w14:textId="77777777" w:rsidTr="006C11F2">
        <w:trPr>
          <w:jc w:val="center"/>
        </w:trPr>
        <w:tc>
          <w:tcPr>
            <w:tcW w:w="5040" w:type="dxa"/>
          </w:tcPr>
          <w:p w14:paraId="36D4333C" w14:textId="77777777" w:rsidR="00BD4101" w:rsidRDefault="00BD4101" w:rsidP="006C11F2">
            <w:r>
              <w:t>Process</w:t>
            </w:r>
          </w:p>
        </w:tc>
        <w:tc>
          <w:tcPr>
            <w:tcW w:w="5040" w:type="dxa"/>
          </w:tcPr>
          <w:p w14:paraId="05BE4B75" w14:textId="77777777" w:rsidR="00BD4101" w:rsidRDefault="00BD4101" w:rsidP="006C11F2">
            <w:r>
              <w:t>- Review whether each process should remain as transferred or be redesigned for a better future state.</w:t>
            </w:r>
            <w:r>
              <w:br/>
              <w:t>- Expand the model carefully into adjacent or more specialist work as maturity grows.</w:t>
            </w:r>
          </w:p>
        </w:tc>
      </w:tr>
      <w:tr w:rsidR="00BD4101" w14:paraId="35DEA82E" w14:textId="77777777" w:rsidTr="006C11F2">
        <w:trPr>
          <w:jc w:val="center"/>
        </w:trPr>
        <w:tc>
          <w:tcPr>
            <w:tcW w:w="5040" w:type="dxa"/>
          </w:tcPr>
          <w:p w14:paraId="685E4DD8" w14:textId="77777777" w:rsidR="00BD4101" w:rsidRDefault="00BD4101" w:rsidP="006C11F2">
            <w:r>
              <w:t>People &amp; Organisation</w:t>
            </w:r>
          </w:p>
        </w:tc>
        <w:tc>
          <w:tcPr>
            <w:tcW w:w="5040" w:type="dxa"/>
          </w:tcPr>
          <w:p w14:paraId="04DD38F4" w14:textId="77777777" w:rsidR="00BD4101" w:rsidRDefault="00BD4101" w:rsidP="006C11F2">
            <w:r>
              <w:t>- Create ongoing training and development plans.</w:t>
            </w:r>
            <w:r>
              <w:br/>
              <w:t>- Strengthen onshore/offshore relationship networks and social cohesion.</w:t>
            </w:r>
            <w:r>
              <w:br/>
              <w:t>- Design teams for flexibility so they can support ad hoc or specialist work over time.</w:t>
            </w:r>
          </w:p>
        </w:tc>
      </w:tr>
      <w:tr w:rsidR="00BD4101" w14:paraId="753628D4" w14:textId="77777777" w:rsidTr="006C11F2">
        <w:trPr>
          <w:jc w:val="center"/>
        </w:trPr>
        <w:tc>
          <w:tcPr>
            <w:tcW w:w="5040" w:type="dxa"/>
          </w:tcPr>
          <w:p w14:paraId="39E6C7C0" w14:textId="77777777" w:rsidR="00BD4101" w:rsidRDefault="00BD4101" w:rsidP="006C11F2">
            <w:r>
              <w:t>Technology &amp; Data</w:t>
            </w:r>
          </w:p>
        </w:tc>
        <w:tc>
          <w:tcPr>
            <w:tcW w:w="5040" w:type="dxa"/>
          </w:tcPr>
          <w:p w14:paraId="6589DED3" w14:textId="77777777" w:rsidR="00BD4101" w:rsidRDefault="00BD4101" w:rsidP="006C11F2">
            <w:r>
              <w:t>- Improve data quality, documentation, and workflow visibility.</w:t>
            </w:r>
            <w:r>
              <w:br/>
              <w:t>- Identify automation and AI use cases that enhance scale and efficiency.</w:t>
            </w:r>
          </w:p>
        </w:tc>
      </w:tr>
      <w:tr w:rsidR="00BD4101" w14:paraId="390B800B" w14:textId="77777777" w:rsidTr="006C11F2">
        <w:trPr>
          <w:jc w:val="center"/>
        </w:trPr>
        <w:tc>
          <w:tcPr>
            <w:tcW w:w="5040" w:type="dxa"/>
          </w:tcPr>
          <w:p w14:paraId="39C94799" w14:textId="77777777" w:rsidR="00BD4101" w:rsidRDefault="00BD4101" w:rsidP="006C11F2">
            <w:r>
              <w:t>Risk, Control &amp; Compliance</w:t>
            </w:r>
          </w:p>
        </w:tc>
        <w:tc>
          <w:tcPr>
            <w:tcW w:w="5040" w:type="dxa"/>
          </w:tcPr>
          <w:p w14:paraId="79CC98B6" w14:textId="77777777" w:rsidR="00BD4101" w:rsidRDefault="00BD4101" w:rsidP="006C11F2">
            <w:r>
              <w:t>- Ensure process changes continue to preserve control integrity and auditability.</w:t>
            </w:r>
            <w:r>
              <w:br/>
              <w:t>- Periodically reassess risks as scope expands.</w:t>
            </w:r>
          </w:p>
        </w:tc>
      </w:tr>
      <w:tr w:rsidR="00BD4101" w14:paraId="0C14CBA6" w14:textId="77777777" w:rsidTr="006C11F2">
        <w:trPr>
          <w:jc w:val="center"/>
        </w:trPr>
        <w:tc>
          <w:tcPr>
            <w:tcW w:w="5040" w:type="dxa"/>
          </w:tcPr>
          <w:p w14:paraId="093BFEA4" w14:textId="77777777" w:rsidR="00BD4101" w:rsidRDefault="00BD4101" w:rsidP="006C11F2">
            <w:r>
              <w:t>Governance</w:t>
            </w:r>
          </w:p>
        </w:tc>
        <w:tc>
          <w:tcPr>
            <w:tcW w:w="5040" w:type="dxa"/>
          </w:tcPr>
          <w:p w14:paraId="5DA4887B" w14:textId="77777777" w:rsidR="00BD4101" w:rsidRDefault="00BD4101" w:rsidP="006C11F2">
            <w:r>
              <w:t>- Maintain named onshore ownership and consistent scorecards.</w:t>
            </w:r>
            <w:r>
              <w:br/>
            </w:r>
            <w:r>
              <w:lastRenderedPageBreak/>
              <w:t>- Document lessons learned and feed them back into process and operating model changes.</w:t>
            </w:r>
          </w:p>
        </w:tc>
      </w:tr>
    </w:tbl>
    <w:p w14:paraId="14D5678A" w14:textId="77777777" w:rsidR="00BD4101" w:rsidRDefault="00BD4101" w:rsidP="00BD4101">
      <w:r>
        <w:rPr>
          <w:b/>
        </w:rPr>
        <w:lastRenderedPageBreak/>
        <w:t>Key deliverables</w:t>
      </w:r>
    </w:p>
    <w:p w14:paraId="59F1D081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Progressive SLA and productivity roadmap</w:t>
      </w:r>
    </w:p>
    <w:p w14:paraId="2CD8C79F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Continuous-improvement backlog and ownership</w:t>
      </w:r>
    </w:p>
    <w:p w14:paraId="136EE1AD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Lessons-learned log</w:t>
      </w:r>
    </w:p>
    <w:p w14:paraId="1FD46531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Future-state automation and AI opportunities list</w:t>
      </w:r>
    </w:p>
    <w:p w14:paraId="323ADD3F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Capability and talent development plan</w:t>
      </w:r>
    </w:p>
    <w:p w14:paraId="17468890" w14:textId="77777777" w:rsidR="00BD4101" w:rsidRDefault="00BD4101" w:rsidP="00BD4101">
      <w:r>
        <w:rPr>
          <w:b/>
        </w:rPr>
        <w:t>Exit criteria</w:t>
      </w:r>
    </w:p>
    <w:p w14:paraId="07F1CB84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The centre is improving against a defined maturity path, not just holding day-one performance.</w:t>
      </w:r>
    </w:p>
    <w:p w14:paraId="62193A34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Improvement activity is governed, measured, and prioritised.</w:t>
      </w:r>
    </w:p>
    <w:p w14:paraId="7CDAC004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The operating model can flex as business needs change.</w:t>
      </w:r>
    </w:p>
    <w:p w14:paraId="6F056591" w14:textId="77777777" w:rsidR="00BD4101" w:rsidRDefault="00BD4101" w:rsidP="00BD4101">
      <w:r>
        <w:rPr>
          <w:b/>
        </w:rPr>
        <w:t>Common pitfalls</w:t>
      </w:r>
    </w:p>
    <w:p w14:paraId="3D165F4A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Leaving SLAs at initial transfer levels indefinitely.</w:t>
      </w:r>
    </w:p>
    <w:p w14:paraId="1E527E37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Failing to capture lessons learned.</w:t>
      </w:r>
    </w:p>
    <w:p w14:paraId="5DC0BFC6" w14:textId="77777777" w:rsidR="00BD4101" w:rsidRDefault="00BD4101" w:rsidP="00BD4101">
      <w:pPr>
        <w:pStyle w:val="ListBullet"/>
        <w:tabs>
          <w:tab w:val="num" w:pos="360"/>
        </w:tabs>
        <w:ind w:left="360" w:hanging="360"/>
      </w:pPr>
      <w:r>
        <w:t>Pursuing automation before basic process simplification and standardisation are complete.</w:t>
      </w:r>
    </w:p>
    <w:p w14:paraId="4689E6D2" w14:textId="77777777" w:rsidR="00BD4101" w:rsidRDefault="00BD4101" w:rsidP="00BD4101">
      <w:pPr>
        <w:pStyle w:val="Heading1"/>
      </w:pPr>
      <w:r>
        <w:t>4. Appendix A: Process suitability guidance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4"/>
        <w:gridCol w:w="5036"/>
      </w:tblGrid>
      <w:tr w:rsidR="00BD4101" w14:paraId="35578A2D" w14:textId="77777777" w:rsidTr="006C11F2">
        <w:tc>
          <w:tcPr>
            <w:tcW w:w="5040" w:type="dxa"/>
          </w:tcPr>
          <w:p w14:paraId="3368E29A" w14:textId="77777777" w:rsidR="00BD4101" w:rsidRDefault="00BD4101" w:rsidP="006C11F2">
            <w:r>
              <w:t>Topic</w:t>
            </w:r>
          </w:p>
        </w:tc>
        <w:tc>
          <w:tcPr>
            <w:tcW w:w="5040" w:type="dxa"/>
          </w:tcPr>
          <w:p w14:paraId="59C9FF64" w14:textId="77777777" w:rsidR="00BD4101" w:rsidRDefault="00BD4101" w:rsidP="006C11F2">
            <w:r>
              <w:t>Guidance</w:t>
            </w:r>
          </w:p>
        </w:tc>
      </w:tr>
      <w:tr w:rsidR="00BD4101" w14:paraId="06A84F79" w14:textId="77777777" w:rsidTr="006C11F2">
        <w:tc>
          <w:tcPr>
            <w:tcW w:w="5040" w:type="dxa"/>
          </w:tcPr>
          <w:p w14:paraId="7A5CBAEF" w14:textId="77777777" w:rsidR="00BD4101" w:rsidRDefault="00BD4101" w:rsidP="006C11F2">
            <w:r>
              <w:t>Likely first-wave candidates</w:t>
            </w:r>
          </w:p>
        </w:tc>
        <w:tc>
          <w:tcPr>
            <w:tcW w:w="5040" w:type="dxa"/>
          </w:tcPr>
          <w:p w14:paraId="527C53D1" w14:textId="77777777" w:rsidR="00BD4101" w:rsidRDefault="00BD4101" w:rsidP="006C11F2">
            <w:r>
              <w:t>Transactional billing; O2C collections for non-complex accounts; P2P; dashboard/reporting; data analysis; R2R with clear automation opportunity; expenses</w:t>
            </w:r>
          </w:p>
        </w:tc>
      </w:tr>
      <w:tr w:rsidR="00BD4101" w14:paraId="4E8E3082" w14:textId="77777777" w:rsidTr="006C11F2">
        <w:tc>
          <w:tcPr>
            <w:tcW w:w="5040" w:type="dxa"/>
          </w:tcPr>
          <w:p w14:paraId="01FD8092" w14:textId="77777777" w:rsidR="00BD4101" w:rsidRDefault="00BD4101" w:rsidP="006C11F2">
            <w:r>
              <w:t>Usually not first-wave candidates</w:t>
            </w:r>
          </w:p>
        </w:tc>
        <w:tc>
          <w:tcPr>
            <w:tcW w:w="5040" w:type="dxa"/>
          </w:tcPr>
          <w:p w14:paraId="753A0993" w14:textId="77777777" w:rsidR="00BD4101" w:rsidRDefault="00BD4101" w:rsidP="006C11F2">
            <w:r>
              <w:t>Business partnering; operational business controllers; treasury; internal control/SOX; project management; customer-facing activities</w:t>
            </w:r>
          </w:p>
        </w:tc>
      </w:tr>
      <w:tr w:rsidR="00BD4101" w14:paraId="4A7CBCEA" w14:textId="77777777" w:rsidTr="006C11F2">
        <w:tc>
          <w:tcPr>
            <w:tcW w:w="5040" w:type="dxa"/>
          </w:tcPr>
          <w:p w14:paraId="3FE7CF8E" w14:textId="77777777" w:rsidR="00BD4101" w:rsidRDefault="00BD4101" w:rsidP="006C11F2">
            <w:r>
              <w:t>Key suitability criteria</w:t>
            </w:r>
          </w:p>
        </w:tc>
        <w:tc>
          <w:tcPr>
            <w:tcW w:w="5040" w:type="dxa"/>
          </w:tcPr>
          <w:p w14:paraId="3B125CBE" w14:textId="77777777" w:rsidR="00BD4101" w:rsidRDefault="00BD4101" w:rsidP="006C11F2">
            <w:r>
              <w:t>Volume; repeatability; clarity of inputs/outputs; complexity; judgement required; control sensitivity; process maturity; automation opportunity; dependency on local language or local knowledge; quality of supporting systems and data</w:t>
            </w:r>
          </w:p>
        </w:tc>
      </w:tr>
      <w:tr w:rsidR="00BD4101" w14:paraId="162078A6" w14:textId="77777777" w:rsidTr="006C11F2">
        <w:tc>
          <w:tcPr>
            <w:tcW w:w="5040" w:type="dxa"/>
          </w:tcPr>
          <w:p w14:paraId="2E683952" w14:textId="77777777" w:rsidR="00BD4101" w:rsidRDefault="00BD4101" w:rsidP="006C11F2">
            <w:r>
              <w:t>Typical mitigations for lower suitability</w:t>
            </w:r>
          </w:p>
        </w:tc>
        <w:tc>
          <w:tcPr>
            <w:tcW w:w="5040" w:type="dxa"/>
          </w:tcPr>
          <w:p w14:paraId="6F6BD03C" w14:textId="77777777" w:rsidR="00BD4101" w:rsidRDefault="00BD4101" w:rsidP="006C11F2">
            <w:r>
              <w:t>Simplify and standardise first; document exceptions; improve workflow/system support; phase or hybridise high-criticality work; stabilise immature processes before transfer</w:t>
            </w:r>
          </w:p>
        </w:tc>
      </w:tr>
    </w:tbl>
    <w:p w14:paraId="76C12CAD" w14:textId="77777777" w:rsidR="00BD4101" w:rsidRDefault="00BD4101" w:rsidP="00BD4101">
      <w:pPr>
        <w:pStyle w:val="Heading1"/>
      </w:pPr>
      <w:r>
        <w:t>5. Appendix B: Example KPI and SLA categories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BD4101" w14:paraId="2F98D8C2" w14:textId="77777777" w:rsidTr="006C11F2">
        <w:tc>
          <w:tcPr>
            <w:tcW w:w="5040" w:type="dxa"/>
          </w:tcPr>
          <w:p w14:paraId="6BDBE7C6" w14:textId="77777777" w:rsidR="00BD4101" w:rsidRDefault="00BD4101" w:rsidP="006C11F2">
            <w:r>
              <w:t>Category</w:t>
            </w:r>
          </w:p>
        </w:tc>
        <w:tc>
          <w:tcPr>
            <w:tcW w:w="5040" w:type="dxa"/>
          </w:tcPr>
          <w:p w14:paraId="6E578BBE" w14:textId="77777777" w:rsidR="00BD4101" w:rsidRDefault="00BD4101" w:rsidP="006C11F2">
            <w:r>
              <w:t>Example measures</w:t>
            </w:r>
          </w:p>
        </w:tc>
      </w:tr>
      <w:tr w:rsidR="00BD4101" w14:paraId="1AF83977" w14:textId="77777777" w:rsidTr="006C11F2">
        <w:tc>
          <w:tcPr>
            <w:tcW w:w="5040" w:type="dxa"/>
          </w:tcPr>
          <w:p w14:paraId="15C05123" w14:textId="77777777" w:rsidR="00BD4101" w:rsidRDefault="00BD4101" w:rsidP="006C11F2">
            <w:r>
              <w:lastRenderedPageBreak/>
              <w:t>Delivery</w:t>
            </w:r>
          </w:p>
        </w:tc>
        <w:tc>
          <w:tcPr>
            <w:tcW w:w="5040" w:type="dxa"/>
          </w:tcPr>
          <w:p w14:paraId="0DF56A35" w14:textId="77777777" w:rsidR="00BD4101" w:rsidRDefault="00BD4101" w:rsidP="006C11F2">
            <w:r>
              <w:t>Volume processed, cycle time, backlog, ageing, on-time completion, service-level attainment</w:t>
            </w:r>
          </w:p>
        </w:tc>
      </w:tr>
      <w:tr w:rsidR="00BD4101" w14:paraId="23EF67F2" w14:textId="77777777" w:rsidTr="006C11F2">
        <w:tc>
          <w:tcPr>
            <w:tcW w:w="5040" w:type="dxa"/>
          </w:tcPr>
          <w:p w14:paraId="3FC14546" w14:textId="77777777" w:rsidR="00BD4101" w:rsidRDefault="00BD4101" w:rsidP="006C11F2">
            <w:r>
              <w:t>Quality</w:t>
            </w:r>
          </w:p>
        </w:tc>
        <w:tc>
          <w:tcPr>
            <w:tcW w:w="5040" w:type="dxa"/>
          </w:tcPr>
          <w:p w14:paraId="748B6D5C" w14:textId="77777777" w:rsidR="00BD4101" w:rsidRDefault="00BD4101" w:rsidP="006C11F2">
            <w:r>
              <w:t>Error rate, rework rate, first-time-right, complaint volume, audit/control exceptions</w:t>
            </w:r>
          </w:p>
        </w:tc>
      </w:tr>
      <w:tr w:rsidR="00BD4101" w14:paraId="1F7E3AE8" w14:textId="77777777" w:rsidTr="006C11F2">
        <w:tc>
          <w:tcPr>
            <w:tcW w:w="5040" w:type="dxa"/>
          </w:tcPr>
          <w:p w14:paraId="32737CC4" w14:textId="77777777" w:rsidR="00BD4101" w:rsidRDefault="00BD4101" w:rsidP="006C11F2">
            <w:r>
              <w:t>Training readiness</w:t>
            </w:r>
          </w:p>
        </w:tc>
        <w:tc>
          <w:tcPr>
            <w:tcW w:w="5040" w:type="dxa"/>
          </w:tcPr>
          <w:p w14:paraId="13863A7B" w14:textId="77777777" w:rsidR="00BD4101" w:rsidRDefault="00BD4101" w:rsidP="006C11F2">
            <w:r>
              <w:t>Training completion, shadow/reverse-shadow completion, proficiency sign-offs, first independent week outcome</w:t>
            </w:r>
          </w:p>
        </w:tc>
      </w:tr>
      <w:tr w:rsidR="00BD4101" w14:paraId="1F037AA7" w14:textId="77777777" w:rsidTr="006C11F2">
        <w:tc>
          <w:tcPr>
            <w:tcW w:w="5040" w:type="dxa"/>
          </w:tcPr>
          <w:p w14:paraId="48A68EED" w14:textId="77777777" w:rsidR="00BD4101" w:rsidRDefault="00BD4101" w:rsidP="006C11F2">
            <w:r>
              <w:t>Operational health</w:t>
            </w:r>
          </w:p>
        </w:tc>
        <w:tc>
          <w:tcPr>
            <w:tcW w:w="5040" w:type="dxa"/>
          </w:tcPr>
          <w:p w14:paraId="38C6003A" w14:textId="77777777" w:rsidR="00BD4101" w:rsidRDefault="00BD4101" w:rsidP="006C11F2">
            <w:r>
              <w:t>Attrition, absenteeism, system incidents, open issues, dependency failures</w:t>
            </w:r>
          </w:p>
        </w:tc>
      </w:tr>
      <w:tr w:rsidR="00BD4101" w14:paraId="541FFE26" w14:textId="77777777" w:rsidTr="006C11F2">
        <w:tc>
          <w:tcPr>
            <w:tcW w:w="5040" w:type="dxa"/>
          </w:tcPr>
          <w:p w14:paraId="63851A61" w14:textId="77777777" w:rsidR="00BD4101" w:rsidRDefault="00BD4101" w:rsidP="006C11F2">
            <w:r>
              <w:t>Improvement</w:t>
            </w:r>
          </w:p>
        </w:tc>
        <w:tc>
          <w:tcPr>
            <w:tcW w:w="5040" w:type="dxa"/>
          </w:tcPr>
          <w:p w14:paraId="0451E08C" w14:textId="77777777" w:rsidR="00BD4101" w:rsidRDefault="00BD4101" w:rsidP="006C11F2">
            <w:r>
              <w:t>Productivity trend, automation adoption, standardisation completed, CI benefits delivered</w:t>
            </w:r>
          </w:p>
        </w:tc>
      </w:tr>
    </w:tbl>
    <w:p w14:paraId="6A65E6D9" w14:textId="77777777" w:rsidR="00BD4101" w:rsidRDefault="00BD4101" w:rsidP="00BD4101">
      <w:pPr>
        <w:pStyle w:val="Heading1"/>
      </w:pPr>
      <w:r>
        <w:t>6. Appendix C: Starter risk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3356"/>
        <w:gridCol w:w="3357"/>
      </w:tblGrid>
      <w:tr w:rsidR="00BD4101" w14:paraId="47BBEED5" w14:textId="77777777" w:rsidTr="006C11F2">
        <w:tc>
          <w:tcPr>
            <w:tcW w:w="3360" w:type="dxa"/>
          </w:tcPr>
          <w:p w14:paraId="6255F403" w14:textId="77777777" w:rsidR="00BD4101" w:rsidRDefault="00BD4101" w:rsidP="006C11F2">
            <w:r>
              <w:t>Risk</w:t>
            </w:r>
          </w:p>
        </w:tc>
        <w:tc>
          <w:tcPr>
            <w:tcW w:w="3360" w:type="dxa"/>
          </w:tcPr>
          <w:p w14:paraId="167F077C" w14:textId="77777777" w:rsidR="00BD4101" w:rsidRDefault="00BD4101" w:rsidP="006C11F2">
            <w:r>
              <w:t>Typical trigger</w:t>
            </w:r>
          </w:p>
        </w:tc>
        <w:tc>
          <w:tcPr>
            <w:tcW w:w="3360" w:type="dxa"/>
          </w:tcPr>
          <w:p w14:paraId="224EE535" w14:textId="77777777" w:rsidR="00BD4101" w:rsidRDefault="00BD4101" w:rsidP="006C11F2">
            <w:r>
              <w:t>Typical mitigation</w:t>
            </w:r>
          </w:p>
        </w:tc>
      </w:tr>
      <w:tr w:rsidR="00BD4101" w14:paraId="0D05DDFC" w14:textId="77777777" w:rsidTr="006C11F2">
        <w:tc>
          <w:tcPr>
            <w:tcW w:w="3360" w:type="dxa"/>
          </w:tcPr>
          <w:p w14:paraId="0FC62D49" w14:textId="77777777" w:rsidR="00BD4101" w:rsidRDefault="00BD4101" w:rsidP="006C11F2">
            <w:r>
              <w:t>Knowledge loss</w:t>
            </w:r>
          </w:p>
        </w:tc>
        <w:tc>
          <w:tcPr>
            <w:tcW w:w="3360" w:type="dxa"/>
          </w:tcPr>
          <w:p w14:paraId="40C3FD12" w14:textId="77777777" w:rsidR="00BD4101" w:rsidRDefault="00BD4101" w:rsidP="006C11F2">
            <w:r>
              <w:t>Key tacit knowledge sits with individuals and is not documented</w:t>
            </w:r>
          </w:p>
        </w:tc>
        <w:tc>
          <w:tcPr>
            <w:tcW w:w="3360" w:type="dxa"/>
          </w:tcPr>
          <w:p w14:paraId="39D0742E" w14:textId="77777777" w:rsidR="00BD4101" w:rsidRDefault="00BD4101" w:rsidP="006C11F2">
            <w:r>
              <w:t>Capture SOPs and business rules early; use shadowing/reverse shadowing; stage trainer exit</w:t>
            </w:r>
          </w:p>
        </w:tc>
      </w:tr>
      <w:tr w:rsidR="00BD4101" w14:paraId="5C15AD4D" w14:textId="77777777" w:rsidTr="006C11F2">
        <w:tc>
          <w:tcPr>
            <w:tcW w:w="3360" w:type="dxa"/>
          </w:tcPr>
          <w:p w14:paraId="3521B4C9" w14:textId="77777777" w:rsidR="00BD4101" w:rsidRDefault="00BD4101" w:rsidP="006C11F2">
            <w:r>
              <w:t>Broken or fragmented process</w:t>
            </w:r>
          </w:p>
        </w:tc>
        <w:tc>
          <w:tcPr>
            <w:tcW w:w="3360" w:type="dxa"/>
          </w:tcPr>
          <w:p w14:paraId="69214B40" w14:textId="77777777" w:rsidR="00BD4101" w:rsidRDefault="00BD4101" w:rsidP="006C11F2">
            <w:r>
              <w:t>Work is moved before simplification, standardisation, or exception design</w:t>
            </w:r>
          </w:p>
        </w:tc>
        <w:tc>
          <w:tcPr>
            <w:tcW w:w="3360" w:type="dxa"/>
          </w:tcPr>
          <w:p w14:paraId="3D50B3FC" w14:textId="77777777" w:rsidR="00BD4101" w:rsidRDefault="00BD4101" w:rsidP="006C11F2">
            <w:r>
              <w:t>Complete current-state assessment; standardise where possible; define handoffs and exceptions</w:t>
            </w:r>
          </w:p>
        </w:tc>
      </w:tr>
      <w:tr w:rsidR="00BD4101" w14:paraId="1DC77583" w14:textId="77777777" w:rsidTr="006C11F2">
        <w:tc>
          <w:tcPr>
            <w:tcW w:w="3360" w:type="dxa"/>
          </w:tcPr>
          <w:p w14:paraId="46A64C3F" w14:textId="77777777" w:rsidR="00BD4101" w:rsidRDefault="00BD4101" w:rsidP="006C11F2">
            <w:r>
              <w:t>Negative impact on retained team</w:t>
            </w:r>
          </w:p>
        </w:tc>
        <w:tc>
          <w:tcPr>
            <w:tcW w:w="3360" w:type="dxa"/>
          </w:tcPr>
          <w:p w14:paraId="74C7EE97" w14:textId="77777777" w:rsidR="00BD4101" w:rsidRDefault="00BD4101" w:rsidP="006C11F2">
            <w:r>
              <w:t>Morale drops, roles become unclear, or leadership gaps emerge</w:t>
            </w:r>
          </w:p>
        </w:tc>
        <w:tc>
          <w:tcPr>
            <w:tcW w:w="3360" w:type="dxa"/>
          </w:tcPr>
          <w:p w14:paraId="351911AA" w14:textId="77777777" w:rsidR="00BD4101" w:rsidRDefault="00BD4101" w:rsidP="006C11F2">
            <w:r>
              <w:t>Clarify retained roles; communicate early; plan reskilling and support</w:t>
            </w:r>
          </w:p>
        </w:tc>
      </w:tr>
      <w:tr w:rsidR="00BD4101" w14:paraId="17955800" w14:textId="77777777" w:rsidTr="006C11F2">
        <w:tc>
          <w:tcPr>
            <w:tcW w:w="3360" w:type="dxa"/>
          </w:tcPr>
          <w:p w14:paraId="07F3D266" w14:textId="77777777" w:rsidR="00BD4101" w:rsidRDefault="00BD4101" w:rsidP="006C11F2">
            <w:r>
              <w:t>Technology not ready</w:t>
            </w:r>
          </w:p>
        </w:tc>
        <w:tc>
          <w:tcPr>
            <w:tcW w:w="3360" w:type="dxa"/>
          </w:tcPr>
          <w:p w14:paraId="2FDB4230" w14:textId="77777777" w:rsidR="00BD4101" w:rsidRDefault="00BD4101" w:rsidP="006C11F2">
            <w:r>
              <w:t>Systems, access, ERP, billing, or ticketing tools cannot support remote delivery</w:t>
            </w:r>
          </w:p>
        </w:tc>
        <w:tc>
          <w:tcPr>
            <w:tcW w:w="3360" w:type="dxa"/>
          </w:tcPr>
          <w:p w14:paraId="0986E895" w14:textId="77777777" w:rsidR="00BD4101" w:rsidRDefault="00BD4101" w:rsidP="006C11F2">
            <w:r>
              <w:t>Run readiness checks before training and go-live; fix critical issues first</w:t>
            </w:r>
          </w:p>
        </w:tc>
      </w:tr>
      <w:tr w:rsidR="00BD4101" w14:paraId="237FE292" w14:textId="77777777" w:rsidTr="006C11F2">
        <w:tc>
          <w:tcPr>
            <w:tcW w:w="3360" w:type="dxa"/>
          </w:tcPr>
          <w:p w14:paraId="575DB07F" w14:textId="77777777" w:rsidR="00BD4101" w:rsidRDefault="00BD4101" w:rsidP="006C11F2">
            <w:r>
              <w:t>Cross-functional disruption</w:t>
            </w:r>
          </w:p>
        </w:tc>
        <w:tc>
          <w:tcPr>
            <w:tcW w:w="3360" w:type="dxa"/>
          </w:tcPr>
          <w:p w14:paraId="4048D054" w14:textId="77777777" w:rsidR="00BD4101" w:rsidRDefault="00BD4101" w:rsidP="006C11F2">
            <w:r>
              <w:t>Upstream or downstream teams are affected unexpectedly</w:t>
            </w:r>
          </w:p>
        </w:tc>
        <w:tc>
          <w:tcPr>
            <w:tcW w:w="3360" w:type="dxa"/>
          </w:tcPr>
          <w:p w14:paraId="446CF856" w14:textId="77777777" w:rsidR="00BD4101" w:rsidRDefault="00BD4101" w:rsidP="006C11F2">
            <w:r>
              <w:t>Assess dependencies and impacts across teams; involve adjacent functions in design</w:t>
            </w:r>
          </w:p>
        </w:tc>
      </w:tr>
      <w:tr w:rsidR="00BD4101" w14:paraId="58A70622" w14:textId="77777777" w:rsidTr="006C11F2">
        <w:tc>
          <w:tcPr>
            <w:tcW w:w="3360" w:type="dxa"/>
          </w:tcPr>
          <w:p w14:paraId="7C23C105" w14:textId="77777777" w:rsidR="00BD4101" w:rsidRDefault="00BD4101" w:rsidP="006C11F2">
            <w:r>
              <w:t>Control/compliance weakness</w:t>
            </w:r>
          </w:p>
        </w:tc>
        <w:tc>
          <w:tcPr>
            <w:tcW w:w="3360" w:type="dxa"/>
          </w:tcPr>
          <w:p w14:paraId="02B0CFB0" w14:textId="77777777" w:rsidR="00BD4101" w:rsidRDefault="00BD4101" w:rsidP="006C11F2">
            <w:r>
              <w:t>SOX, segregation, audit evidence, or legal requirements are missed</w:t>
            </w:r>
          </w:p>
        </w:tc>
        <w:tc>
          <w:tcPr>
            <w:tcW w:w="3360" w:type="dxa"/>
          </w:tcPr>
          <w:p w14:paraId="541C3195" w14:textId="77777777" w:rsidR="00BD4101" w:rsidRDefault="00BD4101" w:rsidP="006C11F2">
            <w:r>
              <w:t>Embed controls in the target operating model; involve risk/compliance stakeholders from the start</w:t>
            </w:r>
          </w:p>
        </w:tc>
      </w:tr>
      <w:tr w:rsidR="00BD4101" w14:paraId="1AC28367" w14:textId="77777777" w:rsidTr="006C11F2">
        <w:tc>
          <w:tcPr>
            <w:tcW w:w="3360" w:type="dxa"/>
          </w:tcPr>
          <w:p w14:paraId="1AA33180" w14:textId="77777777" w:rsidR="00BD4101" w:rsidRDefault="00BD4101" w:rsidP="006C11F2">
            <w:r>
              <w:t>Communication barriers</w:t>
            </w:r>
          </w:p>
        </w:tc>
        <w:tc>
          <w:tcPr>
            <w:tcW w:w="3360" w:type="dxa"/>
          </w:tcPr>
          <w:p w14:paraId="01AECB9A" w14:textId="77777777" w:rsidR="00BD4101" w:rsidRDefault="00BD4101" w:rsidP="006C11F2">
            <w:r>
              <w:t>Language, culture, or unclear messaging causes misunderstanding</w:t>
            </w:r>
          </w:p>
        </w:tc>
        <w:tc>
          <w:tcPr>
            <w:tcW w:w="3360" w:type="dxa"/>
          </w:tcPr>
          <w:p w14:paraId="29C58D17" w14:textId="77777777" w:rsidR="00BD4101" w:rsidRDefault="00BD4101" w:rsidP="006C11F2">
            <w:r>
              <w:t>Use structured communication plans; build trust; adapt training methods</w:t>
            </w:r>
          </w:p>
        </w:tc>
      </w:tr>
      <w:tr w:rsidR="00BD4101" w14:paraId="016A27FE" w14:textId="77777777" w:rsidTr="006C11F2">
        <w:tc>
          <w:tcPr>
            <w:tcW w:w="3360" w:type="dxa"/>
          </w:tcPr>
          <w:p w14:paraId="3337BAF2" w14:textId="77777777" w:rsidR="00BD4101" w:rsidRDefault="00BD4101" w:rsidP="006C11F2">
            <w:r>
              <w:lastRenderedPageBreak/>
              <w:t>Insufficient hypercare</w:t>
            </w:r>
          </w:p>
        </w:tc>
        <w:tc>
          <w:tcPr>
            <w:tcW w:w="3360" w:type="dxa"/>
          </w:tcPr>
          <w:p w14:paraId="7C0B960D" w14:textId="77777777" w:rsidR="00BD4101" w:rsidRDefault="00BD4101" w:rsidP="006C11F2">
            <w:r>
              <w:t>Onshore support is withdrawn before the new team is stable</w:t>
            </w:r>
          </w:p>
        </w:tc>
        <w:tc>
          <w:tcPr>
            <w:tcW w:w="3360" w:type="dxa"/>
          </w:tcPr>
          <w:p w14:paraId="63885D24" w14:textId="77777777" w:rsidR="00BD4101" w:rsidRDefault="00BD4101" w:rsidP="006C11F2">
            <w:r>
              <w:t>Plan 3 to 6 months of hypercare based on process risk and complexity</w:t>
            </w:r>
          </w:p>
        </w:tc>
      </w:tr>
    </w:tbl>
    <w:p w14:paraId="1FA312A3" w14:textId="77777777" w:rsidR="00186D00" w:rsidRDefault="00186D00"/>
    <w:sectPr w:rsidR="00186D00" w:rsidSect="00BD4101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5EE6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237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01"/>
    <w:rsid w:val="00023A94"/>
    <w:rsid w:val="00075BE4"/>
    <w:rsid w:val="000943F7"/>
    <w:rsid w:val="00186D00"/>
    <w:rsid w:val="001A0C24"/>
    <w:rsid w:val="001D3AB2"/>
    <w:rsid w:val="002679B3"/>
    <w:rsid w:val="002E6944"/>
    <w:rsid w:val="003118C7"/>
    <w:rsid w:val="003226CA"/>
    <w:rsid w:val="004E64AA"/>
    <w:rsid w:val="004F1554"/>
    <w:rsid w:val="0058154A"/>
    <w:rsid w:val="007B66F8"/>
    <w:rsid w:val="007C1199"/>
    <w:rsid w:val="00800D65"/>
    <w:rsid w:val="008B6DE6"/>
    <w:rsid w:val="009317FF"/>
    <w:rsid w:val="00AE08D1"/>
    <w:rsid w:val="00B15ADA"/>
    <w:rsid w:val="00B42D97"/>
    <w:rsid w:val="00BD4101"/>
    <w:rsid w:val="00C51102"/>
    <w:rsid w:val="00E30A84"/>
    <w:rsid w:val="00ED1C32"/>
    <w:rsid w:val="00EE0B42"/>
    <w:rsid w:val="00F7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4676"/>
  <w15:chartTrackingRefBased/>
  <w15:docId w15:val="{57A2A726-E92B-4370-9C78-8D1FF205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01"/>
    <w:pPr>
      <w:spacing w:after="200" w:line="276" w:lineRule="auto"/>
    </w:pPr>
    <w:rPr>
      <w:rFonts w:ascii="Arial" w:eastAsiaTheme="minorEastAsia" w:hAnsi="Arial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4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101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BD4101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59"/>
    <w:rsid w:val="00BD4101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3390</Words>
  <Characters>21601</Characters>
  <Application>Microsoft Office Word</Application>
  <DocSecurity>0</DocSecurity>
  <Lines>635</Lines>
  <Paragraphs>438</Paragraphs>
  <ScaleCrop>false</ScaleCrop>
  <Company>Chubb Corporation</Company>
  <LinksUpToDate>false</LinksUpToDate>
  <CharactersWithSpaces>24553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Nigel</dc:creator>
  <cp:keywords/>
  <dc:description/>
  <cp:lastModifiedBy>Baldwin, Nigel</cp:lastModifiedBy>
  <cp:revision>20</cp:revision>
  <dcterms:created xsi:type="dcterms:W3CDTF">2026-03-30T14:28:00Z</dcterms:created>
  <dcterms:modified xsi:type="dcterms:W3CDTF">2026-03-30T15:27:00Z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c6dbb6-22bd-4430-a24e-11d800d02e4a_Enabled">
    <vt:lpwstr>true</vt:lpwstr>
  </property>
  <property fmtid="{D5CDD505-2E9C-101B-9397-08002B2CF9AE}" pid="3" name="MSIP_Label_a4c6dbb6-22bd-4430-a24e-11d800d02e4a_SetDate">
    <vt:lpwstr>2026-03-30T14:29:51Z</vt:lpwstr>
  </property>
  <property fmtid="{D5CDD505-2E9C-101B-9397-08002B2CF9AE}" pid="4" name="MSIP_Label_a4c6dbb6-22bd-4430-a24e-11d800d02e4a_Method">
    <vt:lpwstr>Standard</vt:lpwstr>
  </property>
  <property fmtid="{D5CDD505-2E9C-101B-9397-08002B2CF9AE}" pid="5" name="MSIP_Label_a4c6dbb6-22bd-4430-a24e-11d800d02e4a_Name">
    <vt:lpwstr>General - Chubb - New</vt:lpwstr>
  </property>
  <property fmtid="{D5CDD505-2E9C-101B-9397-08002B2CF9AE}" pid="6" name="MSIP_Label_a4c6dbb6-22bd-4430-a24e-11d800d02e4a_SiteId">
    <vt:lpwstr>47995fc2-1f56-47ce-9137-a87caef4be74</vt:lpwstr>
  </property>
  <property fmtid="{D5CDD505-2E9C-101B-9397-08002B2CF9AE}" pid="7" name="MSIP_Label_a4c6dbb6-22bd-4430-a24e-11d800d02e4a_ActionId">
    <vt:lpwstr>77019a65-a07d-4633-aeac-ecef4be82114</vt:lpwstr>
  </property>
  <property fmtid="{D5CDD505-2E9C-101B-9397-08002B2CF9AE}" pid="8" name="MSIP_Label_a4c6dbb6-22bd-4430-a24e-11d800d02e4a_ContentBits">
    <vt:lpwstr>0</vt:lpwstr>
  </property>
  <property fmtid="{D5CDD505-2E9C-101B-9397-08002B2CF9AE}" pid="9" name="MSIP_Label_a4c6dbb6-22bd-4430-a24e-11d800d02e4a_Tag">
    <vt:lpwstr>10, 3, 0, 1</vt:lpwstr>
  </property>
</Properties>
</file>